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Pr="00686879" w:rsidRDefault="007E793C"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Pr="00686879" w:rsidRDefault="007E793C"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3-26T00:00:00Z">
            <w:dateFormat w:val="d.MM.yyyy"/>
            <w:lid w:val="tr-TR"/>
            <w:storeMappedDataAs w:val="dateTime"/>
            <w:calendar w:val="gregorian"/>
          </w:date>
        </w:sdtPr>
        <w:sdtEndPr/>
        <w:sdtContent>
          <w:r w:rsidR="00686879">
            <w:rPr>
              <w:rFonts w:ascii="Bahnschrift SemiBold" w:hAnsi="Bahnschrift SemiBold"/>
              <w:color w:val="FF0000"/>
              <w:szCs w:val="24"/>
            </w:rPr>
            <w:t>26</w:t>
          </w:r>
          <w:r w:rsidR="00B46B3C">
            <w:rPr>
              <w:rFonts w:ascii="Bahnschrift SemiBold" w:hAnsi="Bahnschrift SemiBold"/>
              <w:color w:val="FF0000"/>
              <w:szCs w:val="24"/>
            </w:rPr>
            <w:t>.03</w:t>
          </w:r>
          <w:r w:rsidR="006864E6">
            <w:rPr>
              <w:rFonts w:ascii="Bahnschrift SemiBold" w:hAnsi="Bahnschrift SemiBold"/>
              <w:color w:val="FF0000"/>
              <w:szCs w:val="24"/>
            </w:rPr>
            <w:t>.2019</w:t>
          </w:r>
        </w:sdtContent>
      </w:sdt>
    </w:p>
    <w:p w:rsidR="00205D9F"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D636EB" w:rsidRDefault="00D636EB" w:rsidP="009B3F61">
      <w:pPr>
        <w:spacing w:after="0" w:line="360" w:lineRule="auto"/>
        <w:ind w:left="0"/>
        <w:rPr>
          <w:szCs w:val="24"/>
        </w:rPr>
      </w:pPr>
    </w:p>
    <w:p w:rsidR="00D636EB" w:rsidRDefault="00D636EB" w:rsidP="00D636EB">
      <w:pPr>
        <w:jc w:val="center"/>
        <w:rPr>
          <w:b/>
        </w:rPr>
      </w:pPr>
      <w:r>
        <w:rPr>
          <w:b/>
        </w:rPr>
        <w:t>BEHÇET HASTALIĞI</w:t>
      </w:r>
    </w:p>
    <w:p w:rsidR="00D636EB" w:rsidRDefault="00D636EB" w:rsidP="00D636EB">
      <w:pPr>
        <w:jc w:val="center"/>
        <w:rPr>
          <w:b/>
        </w:rPr>
      </w:pPr>
    </w:p>
    <w:p w:rsidR="00D636EB" w:rsidRPr="00B27054" w:rsidRDefault="00D636EB" w:rsidP="00D636EB">
      <w:pPr>
        <w:widowControl w:val="0"/>
        <w:autoSpaceDE w:val="0"/>
        <w:autoSpaceDN w:val="0"/>
        <w:adjustRightInd w:val="0"/>
        <w:spacing w:line="240" w:lineRule="auto"/>
        <w:ind w:firstLine="709"/>
        <w:jc w:val="both"/>
        <w:rPr>
          <w:rFonts w:eastAsia="MS Mincho"/>
          <w:color w:val="000000"/>
          <w:szCs w:val="24"/>
          <w:lang w:bidi="he-IL"/>
        </w:rPr>
      </w:pPr>
      <w:r w:rsidRPr="00B27054">
        <w:rPr>
          <w:rFonts w:eastAsia="MS Mincho"/>
          <w:color w:val="000000"/>
          <w:szCs w:val="24"/>
          <w:lang w:bidi="he-IL"/>
        </w:rPr>
        <w:t>Behçet hastalığı, dermatoloji profesörü Hulusi Behçet (1889-1948) tarafından 1937 yılında üç hastada oral ülser, genital ülser ve üveit birlikteliği ile tanımlanmıştır (1). Son 30 yılda Behçet hastalığı ile ilgil</w:t>
      </w:r>
      <w:r>
        <w:rPr>
          <w:rFonts w:eastAsia="MS Mincho"/>
          <w:color w:val="000000"/>
          <w:szCs w:val="24"/>
          <w:lang w:bidi="he-IL"/>
        </w:rPr>
        <w:t xml:space="preserve">i bilgilerimiz hızla artmıştır. </w:t>
      </w:r>
      <w:r w:rsidRPr="00B27054">
        <w:rPr>
          <w:rFonts w:eastAsia="MS Mincho"/>
          <w:color w:val="000000"/>
          <w:szCs w:val="24"/>
          <w:lang w:bidi="he-IL"/>
        </w:rPr>
        <w:t>Hastalığın semptomları tekrar eden özelliktedir</w:t>
      </w:r>
      <w:r>
        <w:rPr>
          <w:rFonts w:eastAsia="MS Mincho"/>
          <w:color w:val="000000"/>
          <w:szCs w:val="24"/>
          <w:lang w:bidi="he-IL"/>
        </w:rPr>
        <w:t>.</w:t>
      </w:r>
      <w:r w:rsidRPr="00B27054">
        <w:rPr>
          <w:rFonts w:eastAsia="MS Mincho"/>
          <w:color w:val="000000"/>
          <w:szCs w:val="24"/>
          <w:lang w:bidi="he-IL"/>
        </w:rPr>
        <w:t xml:space="preserve"> </w:t>
      </w:r>
      <w:r>
        <w:rPr>
          <w:rFonts w:eastAsia="MS Mincho"/>
          <w:color w:val="000000"/>
          <w:szCs w:val="24"/>
          <w:lang w:bidi="he-IL"/>
        </w:rPr>
        <w:t>B</w:t>
      </w:r>
      <w:r w:rsidRPr="00B27054">
        <w:rPr>
          <w:rFonts w:eastAsia="MS Mincho"/>
          <w:color w:val="000000"/>
          <w:szCs w:val="24"/>
          <w:lang w:bidi="he-IL"/>
        </w:rPr>
        <w:t>unlar sırasıyla; ağız içinde aftöz ülserler, genital bölgede ülserler, gözün tüm katmanlarını etkileyebilen üveit ve/veya vaskülit, daha çok alt ekstremite büyük eklemlerini etkileyebilen intermitant artrit, deride akneiform lezyonlar ve/veya eritema nodozum lezyonlar</w:t>
      </w:r>
      <w:r>
        <w:rPr>
          <w:rFonts w:eastAsia="MS Mincho"/>
          <w:color w:val="000000"/>
          <w:szCs w:val="24"/>
          <w:lang w:bidi="he-IL"/>
        </w:rPr>
        <w:t>ı</w:t>
      </w:r>
      <w:r w:rsidRPr="00B27054">
        <w:rPr>
          <w:rFonts w:eastAsia="MS Mincho"/>
          <w:color w:val="000000"/>
          <w:szCs w:val="24"/>
          <w:lang w:bidi="he-IL"/>
        </w:rPr>
        <w:t xml:space="preserve">dır (1). Daha nadir olmak üzere arter ve venöz sistemde vaskülit ve/veya tromboz, </w:t>
      </w:r>
      <w:r w:rsidRPr="00B84772">
        <w:rPr>
          <w:rFonts w:eastAsia="MS Mincho"/>
          <w:color w:val="000000"/>
          <w:szCs w:val="24"/>
          <w:lang w:bidi="he-IL"/>
        </w:rPr>
        <w:t>santral</w:t>
      </w:r>
      <w:r w:rsidRPr="00B27054">
        <w:rPr>
          <w:rFonts w:eastAsia="MS Mincho"/>
          <w:color w:val="000000"/>
          <w:szCs w:val="24"/>
          <w:lang w:bidi="he-IL"/>
        </w:rPr>
        <w:t xml:space="preserve"> sinir sisteminde lezyonlar, pulmoner sistemde tromboz ve/veya arter anevrizmaları ve gastrointestinal sistemde inflamasyon da Behçet hastalığında görülebilmektedir (1). Dünya üzerinde, Orta </w:t>
      </w:r>
      <w:r>
        <w:rPr>
          <w:rFonts w:eastAsia="MS Mincho"/>
          <w:color w:val="000000"/>
          <w:szCs w:val="24"/>
          <w:lang w:bidi="he-IL"/>
        </w:rPr>
        <w:t>D</w:t>
      </w:r>
      <w:r w:rsidRPr="00B27054">
        <w:rPr>
          <w:rFonts w:eastAsia="MS Mincho"/>
          <w:color w:val="000000"/>
          <w:szCs w:val="24"/>
          <w:lang w:bidi="he-IL"/>
        </w:rPr>
        <w:t>oğu</w:t>
      </w:r>
      <w:r>
        <w:rPr>
          <w:rFonts w:eastAsia="MS Mincho"/>
          <w:color w:val="000000"/>
          <w:szCs w:val="24"/>
          <w:lang w:bidi="he-IL"/>
        </w:rPr>
        <w:t>da</w:t>
      </w:r>
      <w:r w:rsidRPr="00B27054">
        <w:rPr>
          <w:rFonts w:eastAsia="MS Mincho"/>
          <w:color w:val="000000"/>
          <w:szCs w:val="24"/>
          <w:lang w:bidi="he-IL"/>
        </w:rPr>
        <w:t xml:space="preserve">, Akdeniz ülkelerinde ve ipek yolu boyunca hastalık daha sık görülmektedir (1). Kendisine özgü bir </w:t>
      </w:r>
      <w:r w:rsidRPr="00005CCC">
        <w:rPr>
          <w:rFonts w:eastAsia="MS Mincho"/>
          <w:color w:val="000000"/>
          <w:szCs w:val="24"/>
          <w:lang w:bidi="he-IL"/>
        </w:rPr>
        <w:t>laboratu</w:t>
      </w:r>
      <w:r>
        <w:rPr>
          <w:rFonts w:eastAsia="MS Mincho"/>
          <w:color w:val="000000"/>
          <w:szCs w:val="24"/>
          <w:lang w:bidi="he-IL"/>
        </w:rPr>
        <w:t>v</w:t>
      </w:r>
      <w:r w:rsidRPr="00005CCC">
        <w:rPr>
          <w:rFonts w:eastAsia="MS Mincho"/>
          <w:color w:val="000000"/>
          <w:szCs w:val="24"/>
          <w:lang w:bidi="he-IL"/>
        </w:rPr>
        <w:t>ar testi</w:t>
      </w:r>
      <w:r w:rsidRPr="00B27054">
        <w:rPr>
          <w:rFonts w:eastAsia="MS Mincho"/>
          <w:color w:val="000000"/>
          <w:szCs w:val="24"/>
          <w:lang w:bidi="he-IL"/>
        </w:rPr>
        <w:t xml:space="preserve"> yoktur. Paterji testi tanısal olarak yardımcı olabilir. Genetik geçiş olduğunu gösteren bulgular </w:t>
      </w:r>
      <w:r>
        <w:rPr>
          <w:rFonts w:eastAsia="MS Mincho"/>
          <w:color w:val="000000"/>
          <w:szCs w:val="24"/>
          <w:lang w:bidi="he-IL"/>
        </w:rPr>
        <w:t xml:space="preserve">vardır, </w:t>
      </w:r>
      <w:r w:rsidRPr="00005CCC">
        <w:rPr>
          <w:rFonts w:eastAsia="MS Mincho"/>
          <w:color w:val="000000"/>
          <w:szCs w:val="24"/>
          <w:lang w:bidi="he-IL"/>
        </w:rPr>
        <w:t>özellikle</w:t>
      </w:r>
      <w:r w:rsidRPr="00B27054">
        <w:rPr>
          <w:rFonts w:eastAsia="MS Mincho"/>
          <w:color w:val="000000"/>
          <w:szCs w:val="24"/>
          <w:lang w:bidi="he-IL"/>
        </w:rPr>
        <w:t xml:space="preserve"> HLA-B51 geni ile Behçet hastalığı arasında ilişki bulunmaktadır (1).</w:t>
      </w:r>
    </w:p>
    <w:p w:rsidR="00D636EB" w:rsidRDefault="00D636EB" w:rsidP="00D636EB">
      <w:pPr>
        <w:widowControl w:val="0"/>
        <w:autoSpaceDE w:val="0"/>
        <w:autoSpaceDN w:val="0"/>
        <w:adjustRightInd w:val="0"/>
        <w:spacing w:line="240" w:lineRule="auto"/>
        <w:ind w:firstLine="709"/>
        <w:jc w:val="both"/>
        <w:rPr>
          <w:rFonts w:eastAsia="MS Mincho"/>
          <w:color w:val="000000"/>
          <w:szCs w:val="24"/>
          <w:lang w:bidi="he-IL"/>
        </w:rPr>
      </w:pPr>
      <w:r w:rsidRPr="00B27054">
        <w:rPr>
          <w:rFonts w:eastAsia="MS Mincho"/>
          <w:color w:val="000000"/>
          <w:szCs w:val="24"/>
          <w:lang w:bidi="he-IL"/>
        </w:rPr>
        <w:t xml:space="preserve">Ülkemizde Behçet hastalığının epidemiyolojisi ile ilgili yapılmış </w:t>
      </w:r>
      <w:r>
        <w:rPr>
          <w:rFonts w:eastAsia="MS Mincho"/>
          <w:color w:val="000000"/>
          <w:szCs w:val="24"/>
          <w:lang w:bidi="he-IL"/>
        </w:rPr>
        <w:t>5</w:t>
      </w:r>
      <w:r w:rsidRPr="00B27054">
        <w:rPr>
          <w:rFonts w:eastAsia="MS Mincho"/>
          <w:color w:val="000000"/>
          <w:szCs w:val="24"/>
          <w:lang w:bidi="he-IL"/>
        </w:rPr>
        <w:t xml:space="preserve"> çalışma bulunmaktadır (2). İkisi İstanbul olmak üzere Ankara, Ordu ve Edirne’de yapılmıştır. Buna göre</w:t>
      </w:r>
      <w:r>
        <w:rPr>
          <w:rFonts w:eastAsia="MS Mincho"/>
          <w:color w:val="000000"/>
          <w:szCs w:val="24"/>
          <w:lang w:bidi="he-IL"/>
        </w:rPr>
        <w:t>,</w:t>
      </w:r>
      <w:r w:rsidRPr="00B27054">
        <w:rPr>
          <w:rFonts w:eastAsia="MS Mincho"/>
          <w:color w:val="000000"/>
          <w:szCs w:val="24"/>
          <w:lang w:bidi="he-IL"/>
        </w:rPr>
        <w:t xml:space="preserve"> Behçet hastalığı prevalansı 20-370/100.000 arasında değişmektedir (2). İnsidansı bilinmemektedir. Avrupa ülkelerinde Behçet hastalığının prevalansı oldukça düşüktür (&lt;10/100.000). </w:t>
      </w:r>
    </w:p>
    <w:p w:rsidR="00D636EB" w:rsidRPr="00D636EB" w:rsidRDefault="00D636EB" w:rsidP="00D636EB">
      <w:pPr>
        <w:pStyle w:val="Balk2"/>
        <w:spacing w:line="240" w:lineRule="auto"/>
        <w:ind w:firstLine="708"/>
      </w:pPr>
      <w:r w:rsidRPr="00157FF1">
        <w:t>Etiyolojisi ve Risk Faktörleri</w:t>
      </w:r>
    </w:p>
    <w:p w:rsidR="00D636EB" w:rsidRDefault="00D636EB" w:rsidP="00D636EB">
      <w:pPr>
        <w:widowControl w:val="0"/>
        <w:autoSpaceDE w:val="0"/>
        <w:autoSpaceDN w:val="0"/>
        <w:adjustRightInd w:val="0"/>
        <w:spacing w:line="240" w:lineRule="auto"/>
        <w:ind w:firstLine="709"/>
        <w:jc w:val="both"/>
        <w:rPr>
          <w:rFonts w:eastAsia="MS Mincho"/>
          <w:color w:val="000000"/>
          <w:szCs w:val="24"/>
          <w:lang w:bidi="he-IL"/>
        </w:rPr>
      </w:pPr>
      <w:r w:rsidRPr="00B27054">
        <w:rPr>
          <w:rFonts w:eastAsia="MS Mincho"/>
          <w:color w:val="000000"/>
          <w:szCs w:val="24"/>
          <w:lang w:bidi="he-IL"/>
        </w:rPr>
        <w:t>Behçet hastalığı ilk tanımlandığı yıllarda viral bir hastalık olarak düşünülmekteydi (3). Sonraki yıllarda da infeksiyöz et</w:t>
      </w:r>
      <w:r>
        <w:rPr>
          <w:rFonts w:eastAsia="MS Mincho"/>
          <w:color w:val="000000"/>
          <w:szCs w:val="24"/>
          <w:lang w:bidi="he-IL"/>
        </w:rPr>
        <w:t>i</w:t>
      </w:r>
      <w:r w:rsidRPr="00B27054">
        <w:rPr>
          <w:rFonts w:eastAsia="MS Mincho"/>
          <w:color w:val="000000"/>
          <w:szCs w:val="24"/>
          <w:lang w:bidi="he-IL"/>
        </w:rPr>
        <w:t>yoloji (başta streptokoklar ve herpes simpleks vir</w:t>
      </w:r>
      <w:r>
        <w:rPr>
          <w:rFonts w:eastAsia="MS Mincho"/>
          <w:color w:val="000000"/>
          <w:szCs w:val="24"/>
          <w:lang w:bidi="he-IL"/>
        </w:rPr>
        <w:t xml:space="preserve">üsü) üzerinde sıkça durulmuştur. </w:t>
      </w:r>
      <w:r w:rsidRPr="00B27054">
        <w:rPr>
          <w:rFonts w:eastAsia="MS Mincho"/>
          <w:color w:val="000000"/>
          <w:szCs w:val="24"/>
          <w:lang w:bidi="he-IL"/>
        </w:rPr>
        <w:t>Behçet hastalığında doğal immün sistemin yanı sıra edinsel immün sistem de aktiftir ve proinflam</w:t>
      </w:r>
      <w:r w:rsidRPr="00005CCC">
        <w:rPr>
          <w:rFonts w:eastAsia="MS Mincho"/>
          <w:color w:val="000000"/>
          <w:szCs w:val="24"/>
          <w:lang w:bidi="he-IL"/>
        </w:rPr>
        <w:t>at</w:t>
      </w:r>
      <w:r>
        <w:rPr>
          <w:rFonts w:eastAsia="MS Mincho"/>
          <w:color w:val="000000"/>
          <w:szCs w:val="24"/>
          <w:lang w:bidi="he-IL"/>
        </w:rPr>
        <w:t>ua</w:t>
      </w:r>
      <w:r w:rsidRPr="00005CCC">
        <w:rPr>
          <w:rFonts w:eastAsia="MS Mincho"/>
          <w:color w:val="000000"/>
          <w:szCs w:val="24"/>
          <w:lang w:bidi="he-IL"/>
        </w:rPr>
        <w:t>r</w:t>
      </w:r>
      <w:r w:rsidRPr="00B27054">
        <w:rPr>
          <w:rFonts w:eastAsia="MS Mincho"/>
          <w:color w:val="000000"/>
          <w:szCs w:val="24"/>
          <w:lang w:bidi="he-IL"/>
        </w:rPr>
        <w:t xml:space="preserve"> </w:t>
      </w:r>
      <w:r w:rsidRPr="00005CCC">
        <w:rPr>
          <w:rFonts w:eastAsia="MS Mincho"/>
          <w:color w:val="000000"/>
          <w:szCs w:val="24"/>
          <w:lang w:bidi="he-IL"/>
        </w:rPr>
        <w:t>sitokinler ve</w:t>
      </w:r>
      <w:r>
        <w:rPr>
          <w:rFonts w:eastAsia="MS Mincho"/>
          <w:color w:val="000000"/>
          <w:szCs w:val="24"/>
          <w:lang w:bidi="he-IL"/>
        </w:rPr>
        <w:t xml:space="preserve"> T help</w:t>
      </w:r>
      <w:r w:rsidRPr="00B27054">
        <w:rPr>
          <w:rFonts w:eastAsia="MS Mincho"/>
          <w:color w:val="000000"/>
          <w:szCs w:val="24"/>
          <w:lang w:bidi="he-IL"/>
        </w:rPr>
        <w:t>er 1 tipi sitokinler et</w:t>
      </w:r>
      <w:r>
        <w:rPr>
          <w:rFonts w:eastAsia="MS Mincho"/>
          <w:color w:val="000000"/>
          <w:szCs w:val="24"/>
          <w:lang w:bidi="he-IL"/>
        </w:rPr>
        <w:t>i</w:t>
      </w:r>
      <w:r w:rsidRPr="00B27054">
        <w:rPr>
          <w:rFonts w:eastAsia="MS Mincho"/>
          <w:color w:val="000000"/>
          <w:szCs w:val="24"/>
          <w:lang w:bidi="he-IL"/>
        </w:rPr>
        <w:t>yolojide sorumlu tutulmaktad</w:t>
      </w:r>
      <w:r>
        <w:rPr>
          <w:rFonts w:eastAsia="MS Mincho"/>
          <w:color w:val="000000"/>
          <w:szCs w:val="24"/>
          <w:lang w:bidi="he-IL"/>
        </w:rPr>
        <w:t xml:space="preserve">ır (3). </w:t>
      </w:r>
      <w:r w:rsidRPr="00B27054">
        <w:rPr>
          <w:rFonts w:eastAsia="MS Mincho"/>
          <w:color w:val="000000"/>
          <w:szCs w:val="24"/>
          <w:lang w:bidi="he-IL"/>
        </w:rPr>
        <w:t>Behçet hastalığı genelde sporadik vakalar şeklinde olmakla birlikte</w:t>
      </w:r>
      <w:r>
        <w:rPr>
          <w:rFonts w:eastAsia="MS Mincho"/>
          <w:color w:val="000000"/>
          <w:szCs w:val="24"/>
          <w:lang w:bidi="he-IL"/>
        </w:rPr>
        <w:t>,</w:t>
      </w:r>
      <w:r w:rsidRPr="00B27054">
        <w:rPr>
          <w:rFonts w:eastAsia="MS Mincho"/>
          <w:color w:val="000000"/>
          <w:szCs w:val="24"/>
          <w:lang w:bidi="he-IL"/>
        </w:rPr>
        <w:t xml:space="preserve"> aile yakınlarında da artmış oranda Behçet hastalığı bulunmaktadır. Behçet hastalığının asıl olarak MHC sınıf 1 genleri (HLA-B51) ile ilişkili olduğu bulunmuştur. İpek yolu bölgesinde Behçet hastalarında HLA-B51 geni </w:t>
      </w:r>
      <w:r>
        <w:rPr>
          <w:rFonts w:eastAsia="MS Mincho"/>
          <w:color w:val="000000"/>
          <w:szCs w:val="24"/>
          <w:lang w:bidi="he-IL"/>
        </w:rPr>
        <w:t xml:space="preserve">yüzde </w:t>
      </w:r>
      <w:r w:rsidRPr="00B27054">
        <w:rPr>
          <w:rFonts w:eastAsia="MS Mincho"/>
          <w:color w:val="000000"/>
          <w:szCs w:val="24"/>
          <w:lang w:bidi="he-IL"/>
        </w:rPr>
        <w:t>50-80 arasında bulunurken, normal pop</w:t>
      </w:r>
      <w:r>
        <w:rPr>
          <w:rFonts w:eastAsia="MS Mincho"/>
          <w:color w:val="000000"/>
          <w:szCs w:val="24"/>
          <w:lang w:bidi="he-IL"/>
        </w:rPr>
        <w:t>ü</w:t>
      </w:r>
      <w:r w:rsidRPr="00B27054">
        <w:rPr>
          <w:rFonts w:eastAsia="MS Mincho"/>
          <w:color w:val="000000"/>
          <w:szCs w:val="24"/>
          <w:lang w:bidi="he-IL"/>
        </w:rPr>
        <w:t xml:space="preserve">lasyonda bu geni taşıyanların sıklığı yaklaşık </w:t>
      </w:r>
      <w:r>
        <w:rPr>
          <w:rFonts w:eastAsia="MS Mincho"/>
          <w:color w:val="000000"/>
          <w:szCs w:val="24"/>
          <w:lang w:bidi="he-IL"/>
        </w:rPr>
        <w:t xml:space="preserve">yüzde </w:t>
      </w:r>
      <w:r w:rsidRPr="00B27054">
        <w:rPr>
          <w:rFonts w:eastAsia="MS Mincho"/>
          <w:color w:val="000000"/>
          <w:szCs w:val="24"/>
          <w:lang w:bidi="he-IL"/>
        </w:rPr>
        <w:t>25’</w:t>
      </w:r>
      <w:r>
        <w:rPr>
          <w:rFonts w:eastAsia="MS Mincho"/>
          <w:color w:val="000000"/>
          <w:szCs w:val="24"/>
          <w:lang w:bidi="he-IL"/>
        </w:rPr>
        <w:t>t</w:t>
      </w:r>
      <w:r w:rsidRPr="00B27054">
        <w:rPr>
          <w:rFonts w:eastAsia="MS Mincho"/>
          <w:color w:val="000000"/>
          <w:szCs w:val="24"/>
          <w:lang w:bidi="he-IL"/>
        </w:rPr>
        <w:t xml:space="preserve">ir. Aynı zamanda diğer </w:t>
      </w:r>
      <w:r w:rsidRPr="002322A4">
        <w:rPr>
          <w:rFonts w:eastAsia="MS Mincho"/>
          <w:color w:val="000000"/>
          <w:szCs w:val="24"/>
          <w:lang w:bidi="he-IL"/>
        </w:rPr>
        <w:t>MHC genleri</w:t>
      </w:r>
      <w:r w:rsidRPr="00B27054">
        <w:rPr>
          <w:rFonts w:eastAsia="MS Mincho"/>
          <w:color w:val="000000"/>
          <w:szCs w:val="24"/>
          <w:lang w:bidi="he-IL"/>
        </w:rPr>
        <w:t xml:space="preserve"> ile ilgili ilişkiler de tanımlanmıştır (3).</w:t>
      </w:r>
      <w:r>
        <w:rPr>
          <w:rFonts w:eastAsia="MS Mincho"/>
          <w:color w:val="000000"/>
          <w:szCs w:val="24"/>
          <w:lang w:bidi="he-IL"/>
        </w:rPr>
        <w:t xml:space="preserve">  </w:t>
      </w:r>
    </w:p>
    <w:p w:rsidR="00D636EB" w:rsidRDefault="00D636EB" w:rsidP="00D636EB">
      <w:pPr>
        <w:pStyle w:val="Balk2"/>
        <w:spacing w:after="240" w:line="240" w:lineRule="auto"/>
        <w:ind w:firstLine="708"/>
      </w:pPr>
      <w:r>
        <w:t>Semptom ve Bulguları</w:t>
      </w:r>
    </w:p>
    <w:p w:rsidR="00D636EB" w:rsidRDefault="00D636EB" w:rsidP="00D636EB">
      <w:pPr>
        <w:pStyle w:val="ListeParagraf"/>
        <w:numPr>
          <w:ilvl w:val="0"/>
          <w:numId w:val="20"/>
        </w:numPr>
        <w:tabs>
          <w:tab w:val="left" w:pos="851"/>
        </w:tabs>
        <w:spacing w:before="0" w:after="200" w:line="240" w:lineRule="auto"/>
        <w:ind w:left="142" w:right="0" w:firstLine="567"/>
        <w:jc w:val="both"/>
        <w:rPr>
          <w:rFonts w:ascii="Times New Roman" w:eastAsia="MS Mincho" w:hAnsi="Times New Roman"/>
          <w:color w:val="000000"/>
          <w:szCs w:val="24"/>
          <w:lang w:eastAsia="ar-SA" w:bidi="he-IL"/>
        </w:rPr>
      </w:pPr>
      <w:r w:rsidRPr="00E000EC">
        <w:rPr>
          <w:rFonts w:ascii="Times New Roman" w:eastAsia="MS Mincho" w:hAnsi="Times New Roman"/>
          <w:color w:val="000000"/>
          <w:szCs w:val="24"/>
          <w:lang w:bidi="he-IL"/>
        </w:rPr>
        <w:t xml:space="preserve">Tekrar eden oral ülser ve genital ülser, </w:t>
      </w:r>
    </w:p>
    <w:p w:rsidR="00D636EB" w:rsidRDefault="00D636EB" w:rsidP="00D636EB">
      <w:pPr>
        <w:pStyle w:val="ListeParagraf"/>
        <w:numPr>
          <w:ilvl w:val="0"/>
          <w:numId w:val="20"/>
        </w:numPr>
        <w:tabs>
          <w:tab w:val="left" w:pos="851"/>
        </w:tabs>
        <w:spacing w:before="0" w:after="200" w:line="240" w:lineRule="auto"/>
        <w:ind w:left="142" w:right="0" w:firstLine="567"/>
        <w:jc w:val="both"/>
        <w:rPr>
          <w:rFonts w:ascii="Times New Roman" w:eastAsia="MS Mincho" w:hAnsi="Times New Roman"/>
          <w:color w:val="000000"/>
          <w:szCs w:val="24"/>
          <w:lang w:eastAsia="ar-SA" w:bidi="he-IL"/>
        </w:rPr>
      </w:pPr>
      <w:r>
        <w:rPr>
          <w:rFonts w:ascii="Times New Roman" w:eastAsia="MS Mincho" w:hAnsi="Times New Roman"/>
          <w:color w:val="000000"/>
          <w:szCs w:val="24"/>
          <w:lang w:bidi="he-IL"/>
        </w:rPr>
        <w:t>G</w:t>
      </w:r>
      <w:r w:rsidRPr="00E000EC">
        <w:rPr>
          <w:rFonts w:ascii="Times New Roman" w:eastAsia="MS Mincho" w:hAnsi="Times New Roman"/>
          <w:color w:val="000000"/>
          <w:szCs w:val="24"/>
          <w:lang w:bidi="he-IL"/>
        </w:rPr>
        <w:t xml:space="preserve">özde üveit, </w:t>
      </w:r>
    </w:p>
    <w:p w:rsidR="00D636EB" w:rsidRDefault="00D636EB" w:rsidP="00D636EB">
      <w:pPr>
        <w:pStyle w:val="ListeParagraf"/>
        <w:numPr>
          <w:ilvl w:val="0"/>
          <w:numId w:val="20"/>
        </w:numPr>
        <w:tabs>
          <w:tab w:val="left" w:pos="851"/>
        </w:tabs>
        <w:spacing w:before="0" w:after="200" w:line="240" w:lineRule="auto"/>
        <w:ind w:left="142" w:right="0" w:firstLine="567"/>
        <w:jc w:val="both"/>
        <w:rPr>
          <w:rFonts w:ascii="Times New Roman" w:eastAsia="MS Mincho" w:hAnsi="Times New Roman"/>
          <w:color w:val="000000"/>
          <w:szCs w:val="24"/>
          <w:lang w:eastAsia="ar-SA" w:bidi="he-IL"/>
        </w:rPr>
      </w:pPr>
      <w:r>
        <w:rPr>
          <w:rFonts w:ascii="Times New Roman" w:eastAsia="MS Mincho" w:hAnsi="Times New Roman"/>
          <w:color w:val="000000"/>
          <w:szCs w:val="24"/>
          <w:lang w:bidi="he-IL"/>
        </w:rPr>
        <w:t>D</w:t>
      </w:r>
      <w:r w:rsidRPr="00E000EC">
        <w:rPr>
          <w:rFonts w:ascii="Times New Roman" w:eastAsia="MS Mincho" w:hAnsi="Times New Roman"/>
          <w:color w:val="000000"/>
          <w:szCs w:val="24"/>
          <w:lang w:bidi="he-IL"/>
        </w:rPr>
        <w:t xml:space="preserve">eri lezyonları (eritema nodozum, akneiform lezyonlar) ve paterji pozitifliğine göre konulmaktadır (1). </w:t>
      </w:r>
    </w:p>
    <w:p w:rsidR="00D636EB" w:rsidRDefault="00D636EB" w:rsidP="00D636EB">
      <w:pPr>
        <w:pStyle w:val="ListeParagraf"/>
        <w:numPr>
          <w:ilvl w:val="0"/>
          <w:numId w:val="20"/>
        </w:numPr>
        <w:tabs>
          <w:tab w:val="left" w:pos="851"/>
        </w:tabs>
        <w:spacing w:before="0" w:after="200" w:line="240" w:lineRule="auto"/>
        <w:ind w:left="142" w:right="0" w:firstLine="567"/>
        <w:jc w:val="both"/>
        <w:rPr>
          <w:rFonts w:ascii="Times New Roman" w:eastAsia="MS Mincho" w:hAnsi="Times New Roman"/>
          <w:color w:val="000000"/>
          <w:szCs w:val="24"/>
          <w:lang w:eastAsia="ar-SA" w:bidi="he-IL"/>
        </w:rPr>
      </w:pPr>
      <w:r>
        <w:rPr>
          <w:rFonts w:ascii="Times New Roman" w:eastAsia="MS Mincho" w:hAnsi="Times New Roman"/>
          <w:color w:val="000000"/>
          <w:szCs w:val="24"/>
          <w:lang w:bidi="he-IL"/>
        </w:rPr>
        <w:t>A</w:t>
      </w:r>
      <w:r w:rsidRPr="00E000EC">
        <w:rPr>
          <w:rFonts w:ascii="Times New Roman" w:eastAsia="MS Mincho" w:hAnsi="Times New Roman"/>
          <w:color w:val="000000"/>
          <w:szCs w:val="24"/>
          <w:lang w:bidi="he-IL"/>
        </w:rPr>
        <w:t xml:space="preserve">rtrit/artralji, </w:t>
      </w:r>
    </w:p>
    <w:p w:rsidR="00D636EB" w:rsidRDefault="00D636EB" w:rsidP="00D636EB">
      <w:pPr>
        <w:pStyle w:val="ListeParagraf"/>
        <w:numPr>
          <w:ilvl w:val="0"/>
          <w:numId w:val="20"/>
        </w:numPr>
        <w:tabs>
          <w:tab w:val="left" w:pos="851"/>
        </w:tabs>
        <w:spacing w:before="0" w:after="200" w:line="240" w:lineRule="auto"/>
        <w:ind w:left="142" w:right="0" w:firstLine="567"/>
        <w:jc w:val="both"/>
        <w:rPr>
          <w:rFonts w:ascii="Times New Roman" w:eastAsia="MS Mincho" w:hAnsi="Times New Roman"/>
          <w:color w:val="000000"/>
          <w:szCs w:val="24"/>
          <w:lang w:eastAsia="ar-SA" w:bidi="he-IL"/>
        </w:rPr>
      </w:pPr>
      <w:r>
        <w:rPr>
          <w:rFonts w:ascii="Times New Roman" w:eastAsia="MS Mincho" w:hAnsi="Times New Roman"/>
          <w:color w:val="000000"/>
          <w:szCs w:val="24"/>
          <w:lang w:bidi="he-IL"/>
        </w:rPr>
        <w:t>B</w:t>
      </w:r>
      <w:r w:rsidRPr="00E000EC">
        <w:rPr>
          <w:rFonts w:ascii="Times New Roman" w:eastAsia="MS Mincho" w:hAnsi="Times New Roman"/>
          <w:color w:val="000000"/>
          <w:szCs w:val="24"/>
          <w:lang w:bidi="he-IL"/>
        </w:rPr>
        <w:t xml:space="preserve">üyük damar vaskülitleri, anevrizma, arter/venöz sistem trombozları, </w:t>
      </w:r>
    </w:p>
    <w:p w:rsidR="00D636EB" w:rsidRDefault="00D636EB" w:rsidP="00D636EB">
      <w:pPr>
        <w:pStyle w:val="ListeParagraf"/>
        <w:numPr>
          <w:ilvl w:val="0"/>
          <w:numId w:val="20"/>
        </w:numPr>
        <w:tabs>
          <w:tab w:val="left" w:pos="851"/>
        </w:tabs>
        <w:spacing w:before="0" w:after="200" w:line="240" w:lineRule="auto"/>
        <w:ind w:left="142" w:right="0" w:firstLine="567"/>
        <w:jc w:val="both"/>
        <w:rPr>
          <w:rFonts w:ascii="Times New Roman" w:eastAsia="MS Mincho" w:hAnsi="Times New Roman"/>
          <w:color w:val="000000"/>
          <w:szCs w:val="24"/>
          <w:lang w:eastAsia="ar-SA" w:bidi="he-IL"/>
        </w:rPr>
      </w:pPr>
      <w:r>
        <w:rPr>
          <w:rFonts w:ascii="Times New Roman" w:eastAsia="MS Mincho" w:hAnsi="Times New Roman"/>
          <w:color w:val="000000"/>
          <w:szCs w:val="24"/>
          <w:lang w:bidi="he-IL"/>
        </w:rPr>
        <w:t>T</w:t>
      </w:r>
      <w:r w:rsidRPr="00E000EC">
        <w:rPr>
          <w:rFonts w:ascii="Times New Roman" w:eastAsia="MS Mincho" w:hAnsi="Times New Roman"/>
          <w:color w:val="000000"/>
          <w:szCs w:val="24"/>
          <w:lang w:bidi="he-IL"/>
        </w:rPr>
        <w:t xml:space="preserve">erminal ileumda daha belirgin olmak üzere kolon-ince bağırsakta aftöz ülserler, </w:t>
      </w:r>
    </w:p>
    <w:p w:rsidR="00D636EB" w:rsidRDefault="00D636EB" w:rsidP="00D636EB">
      <w:pPr>
        <w:pStyle w:val="ListeParagraf"/>
        <w:numPr>
          <w:ilvl w:val="0"/>
          <w:numId w:val="20"/>
        </w:numPr>
        <w:tabs>
          <w:tab w:val="left" w:pos="851"/>
        </w:tabs>
        <w:spacing w:before="0" w:after="200" w:line="240" w:lineRule="auto"/>
        <w:ind w:left="142" w:right="0" w:firstLine="567"/>
        <w:jc w:val="both"/>
        <w:rPr>
          <w:rFonts w:ascii="Times New Roman" w:eastAsia="MS Mincho" w:hAnsi="Times New Roman"/>
          <w:color w:val="000000"/>
          <w:szCs w:val="24"/>
          <w:lang w:eastAsia="ar-SA" w:bidi="he-IL"/>
        </w:rPr>
      </w:pPr>
      <w:r>
        <w:rPr>
          <w:rFonts w:ascii="Times New Roman" w:eastAsia="MS Mincho" w:hAnsi="Times New Roman"/>
          <w:color w:val="000000"/>
          <w:szCs w:val="24"/>
          <w:lang w:bidi="he-IL"/>
        </w:rPr>
        <w:t>S</w:t>
      </w:r>
      <w:r w:rsidRPr="00E000EC">
        <w:rPr>
          <w:rFonts w:ascii="Times New Roman" w:eastAsia="MS Mincho" w:hAnsi="Times New Roman"/>
          <w:color w:val="000000"/>
          <w:szCs w:val="24"/>
          <w:lang w:bidi="he-IL"/>
        </w:rPr>
        <w:t>antral</w:t>
      </w:r>
      <w:r>
        <w:rPr>
          <w:rFonts w:ascii="Times New Roman" w:eastAsia="MS Mincho" w:hAnsi="Times New Roman"/>
          <w:color w:val="000000"/>
          <w:szCs w:val="24"/>
          <w:lang w:bidi="he-IL"/>
        </w:rPr>
        <w:t xml:space="preserve"> sinir </w:t>
      </w:r>
      <w:r w:rsidRPr="00E000EC">
        <w:rPr>
          <w:rFonts w:ascii="Times New Roman" w:eastAsia="MS Mincho" w:hAnsi="Times New Roman"/>
          <w:color w:val="000000"/>
          <w:szCs w:val="24"/>
          <w:lang w:bidi="he-IL"/>
        </w:rPr>
        <w:t xml:space="preserve">sisteminde tutulum (özellikle beyin sapında lezyon ve sagital venöz sistemde tromboz), </w:t>
      </w:r>
    </w:p>
    <w:p w:rsidR="00D636EB" w:rsidRDefault="00D636EB" w:rsidP="00D636EB">
      <w:pPr>
        <w:pStyle w:val="ListeParagraf"/>
        <w:numPr>
          <w:ilvl w:val="0"/>
          <w:numId w:val="20"/>
        </w:numPr>
        <w:tabs>
          <w:tab w:val="left" w:pos="851"/>
        </w:tabs>
        <w:spacing w:before="0" w:after="200" w:line="240" w:lineRule="auto"/>
        <w:ind w:left="142" w:right="0" w:firstLine="567"/>
        <w:jc w:val="both"/>
        <w:rPr>
          <w:rFonts w:ascii="Times New Roman" w:eastAsia="MS Mincho" w:hAnsi="Times New Roman"/>
          <w:color w:val="000000"/>
          <w:szCs w:val="24"/>
          <w:lang w:eastAsia="ar-SA" w:bidi="he-IL"/>
        </w:rPr>
      </w:pPr>
      <w:r>
        <w:rPr>
          <w:rFonts w:ascii="Times New Roman" w:eastAsia="MS Mincho" w:hAnsi="Times New Roman"/>
          <w:color w:val="000000"/>
          <w:szCs w:val="24"/>
          <w:lang w:bidi="he-IL"/>
        </w:rPr>
        <w:t>P</w:t>
      </w:r>
      <w:r w:rsidRPr="00E000EC">
        <w:rPr>
          <w:rFonts w:ascii="Times New Roman" w:eastAsia="MS Mincho" w:hAnsi="Times New Roman"/>
          <w:color w:val="000000"/>
          <w:szCs w:val="24"/>
          <w:lang w:bidi="he-IL"/>
        </w:rPr>
        <w:t xml:space="preserve">ulmoner tromboemboli ve pulmoner anevrizma, </w:t>
      </w:r>
    </w:p>
    <w:p w:rsidR="00D636EB" w:rsidRPr="00E000EC" w:rsidRDefault="00D636EB" w:rsidP="00D636EB">
      <w:pPr>
        <w:pStyle w:val="ListeParagraf"/>
        <w:numPr>
          <w:ilvl w:val="0"/>
          <w:numId w:val="20"/>
        </w:numPr>
        <w:tabs>
          <w:tab w:val="left" w:pos="851"/>
        </w:tabs>
        <w:spacing w:before="0" w:after="200" w:line="240" w:lineRule="auto"/>
        <w:ind w:left="0" w:right="0" w:firstLine="567"/>
        <w:jc w:val="both"/>
        <w:rPr>
          <w:rFonts w:ascii="Times New Roman" w:eastAsia="MS Mincho" w:hAnsi="Times New Roman"/>
          <w:color w:val="000000"/>
          <w:szCs w:val="24"/>
          <w:lang w:eastAsia="ar-SA" w:bidi="he-IL"/>
        </w:rPr>
      </w:pPr>
      <w:r>
        <w:rPr>
          <w:rFonts w:ascii="Times New Roman" w:eastAsia="MS Mincho" w:hAnsi="Times New Roman"/>
          <w:color w:val="000000"/>
          <w:szCs w:val="24"/>
          <w:lang w:bidi="he-IL"/>
        </w:rPr>
        <w:t>E</w:t>
      </w:r>
      <w:r w:rsidRPr="00E000EC">
        <w:rPr>
          <w:rFonts w:ascii="Times New Roman" w:eastAsia="MS Mincho" w:hAnsi="Times New Roman"/>
          <w:color w:val="000000"/>
          <w:szCs w:val="24"/>
          <w:lang w:bidi="he-IL"/>
        </w:rPr>
        <w:t>pididimit</w:t>
      </w:r>
      <w:r>
        <w:rPr>
          <w:rFonts w:ascii="Times New Roman" w:eastAsia="MS Mincho" w:hAnsi="Times New Roman"/>
          <w:color w:val="000000"/>
          <w:szCs w:val="24"/>
          <w:lang w:bidi="he-IL"/>
        </w:rPr>
        <w:t xml:space="preserve"> bulgularından biri veya birkaçı tutulumun şiddetine bağlı olarak görülür.</w:t>
      </w:r>
    </w:p>
    <w:p w:rsidR="00D636EB" w:rsidRDefault="00D636EB" w:rsidP="00D636EB">
      <w:pPr>
        <w:pStyle w:val="Balk2"/>
        <w:spacing w:line="240" w:lineRule="auto"/>
        <w:ind w:firstLine="708"/>
      </w:pPr>
      <w:r w:rsidRPr="00157FF1">
        <w:lastRenderedPageBreak/>
        <w:t>Tanı Testleri</w:t>
      </w:r>
    </w:p>
    <w:p w:rsidR="00D636EB" w:rsidRDefault="00D636EB" w:rsidP="00D636EB">
      <w:pPr>
        <w:widowControl w:val="0"/>
        <w:autoSpaceDE w:val="0"/>
        <w:autoSpaceDN w:val="0"/>
        <w:adjustRightInd w:val="0"/>
        <w:spacing w:line="240" w:lineRule="auto"/>
        <w:ind w:firstLine="709"/>
        <w:jc w:val="both"/>
        <w:rPr>
          <w:rFonts w:eastAsia="MS Mincho"/>
          <w:color w:val="000000"/>
          <w:szCs w:val="24"/>
          <w:lang w:bidi="he-IL"/>
        </w:rPr>
      </w:pPr>
      <w:r w:rsidRPr="00B27054">
        <w:rPr>
          <w:rFonts w:eastAsia="MS Mincho"/>
          <w:color w:val="000000"/>
          <w:szCs w:val="24"/>
          <w:lang w:bidi="he-IL"/>
        </w:rPr>
        <w:t>Behçet hastalığının tanısı asıl olarak klinik bulgulara d</w:t>
      </w:r>
      <w:r>
        <w:rPr>
          <w:rFonts w:eastAsia="MS Mincho"/>
          <w:color w:val="000000"/>
          <w:szCs w:val="24"/>
          <w:lang w:bidi="he-IL"/>
        </w:rPr>
        <w:t>ayanarak konulmaktadır. Uluslar</w:t>
      </w:r>
      <w:r w:rsidRPr="00B27054">
        <w:rPr>
          <w:rFonts w:eastAsia="MS Mincho"/>
          <w:color w:val="000000"/>
          <w:szCs w:val="24"/>
          <w:lang w:bidi="he-IL"/>
        </w:rPr>
        <w:t>arası Behçet grubunun önerilerine göre Behçet hastalığı tanısı tekrar eden oral ülser, genital ülser, gözde üveit, deri lezyonları (eritema nodozum, akneiform lezyonlar) ve paterji p</w:t>
      </w:r>
      <w:r>
        <w:rPr>
          <w:rFonts w:eastAsia="MS Mincho"/>
          <w:color w:val="000000"/>
          <w:szCs w:val="24"/>
          <w:lang w:bidi="he-IL"/>
        </w:rPr>
        <w:t xml:space="preserve">ozitifliğine göre konulmaktadır </w:t>
      </w:r>
      <w:r w:rsidRPr="00B27054">
        <w:rPr>
          <w:rFonts w:eastAsia="MS Mincho"/>
          <w:color w:val="000000"/>
          <w:szCs w:val="24"/>
          <w:lang w:bidi="he-IL"/>
        </w:rPr>
        <w:t>(1). Ancak artrit/artralji, büyük damar vaskülitleri, anevrizma, arter/venöz sistem trombozları, terminal ileumda daha belirgin olmak üzere kolon-ince bağırsakta aftöz ülserler</w:t>
      </w:r>
      <w:r w:rsidRPr="00005CCC">
        <w:rPr>
          <w:rFonts w:eastAsia="MS Mincho"/>
          <w:color w:val="000000"/>
          <w:szCs w:val="24"/>
          <w:lang w:bidi="he-IL"/>
        </w:rPr>
        <w:t>, santral</w:t>
      </w:r>
      <w:r w:rsidRPr="00B27054">
        <w:rPr>
          <w:rFonts w:eastAsia="MS Mincho"/>
          <w:color w:val="000000"/>
          <w:szCs w:val="24"/>
          <w:lang w:bidi="he-IL"/>
        </w:rPr>
        <w:t xml:space="preserve"> sinir </w:t>
      </w:r>
      <w:r w:rsidRPr="007525BE">
        <w:rPr>
          <w:rFonts w:eastAsia="MS Mincho"/>
          <w:color w:val="000000"/>
          <w:szCs w:val="24"/>
          <w:lang w:bidi="he-IL"/>
        </w:rPr>
        <w:t>sisteminde tutulum (özellikle beyin sapında lezyon ve sagital venöz sistemde tromboz), pulmoner tromboemboli</w:t>
      </w:r>
      <w:r w:rsidRPr="00B27054">
        <w:rPr>
          <w:rFonts w:eastAsia="MS Mincho"/>
          <w:color w:val="000000"/>
          <w:szCs w:val="24"/>
          <w:lang w:bidi="he-IL"/>
        </w:rPr>
        <w:t xml:space="preserve"> ve pulmoner anevrizma, epididimit de Behçet hastalığı tanısını desteklemektedir (1).</w:t>
      </w:r>
    </w:p>
    <w:p w:rsidR="00D636EB" w:rsidRPr="0059321E" w:rsidRDefault="00D636EB" w:rsidP="00D636EB">
      <w:pPr>
        <w:widowControl w:val="0"/>
        <w:autoSpaceDE w:val="0"/>
        <w:autoSpaceDN w:val="0"/>
        <w:adjustRightInd w:val="0"/>
        <w:spacing w:line="240" w:lineRule="auto"/>
        <w:ind w:firstLine="709"/>
        <w:jc w:val="both"/>
        <w:rPr>
          <w:rFonts w:eastAsia="MS Mincho"/>
          <w:color w:val="000000"/>
          <w:szCs w:val="24"/>
          <w:lang w:bidi="he-IL"/>
        </w:rPr>
      </w:pPr>
      <w:r w:rsidRPr="00B27054">
        <w:rPr>
          <w:rFonts w:eastAsia="MS Mincho"/>
          <w:color w:val="000000"/>
          <w:szCs w:val="24"/>
          <w:lang w:bidi="he-IL"/>
        </w:rPr>
        <w:t xml:space="preserve"> </w:t>
      </w:r>
      <w:r w:rsidRPr="007525BE">
        <w:rPr>
          <w:rFonts w:eastAsia="MS Mincho"/>
          <w:color w:val="000000"/>
          <w:szCs w:val="24"/>
          <w:lang w:bidi="he-IL"/>
        </w:rPr>
        <w:t>Laboratuar t</w:t>
      </w:r>
      <w:r w:rsidRPr="00B27054">
        <w:rPr>
          <w:rFonts w:eastAsia="MS Mincho"/>
          <w:color w:val="000000"/>
          <w:szCs w:val="24"/>
          <w:lang w:bidi="he-IL"/>
        </w:rPr>
        <w:t>estlerinde artmış akut faz yanıtları görülebilir. Etkilenen organın görüntülenmesi tanıda yardımcıdır. Man</w:t>
      </w:r>
      <w:r>
        <w:rPr>
          <w:rFonts w:eastAsia="MS Mincho"/>
          <w:color w:val="000000"/>
          <w:szCs w:val="24"/>
          <w:lang w:bidi="he-IL"/>
        </w:rPr>
        <w:t>y</w:t>
      </w:r>
      <w:r w:rsidRPr="00B27054">
        <w:rPr>
          <w:rFonts w:eastAsia="MS Mincho"/>
          <w:color w:val="000000"/>
          <w:szCs w:val="24"/>
          <w:lang w:bidi="he-IL"/>
        </w:rPr>
        <w:t>etik rezonans, bilgisayarlı tomografi veya Dop</w:t>
      </w:r>
      <w:r>
        <w:rPr>
          <w:rFonts w:eastAsia="MS Mincho"/>
          <w:color w:val="000000"/>
          <w:szCs w:val="24"/>
          <w:lang w:bidi="he-IL"/>
        </w:rPr>
        <w:t>p</w:t>
      </w:r>
      <w:r w:rsidRPr="00B27054">
        <w:rPr>
          <w:rFonts w:eastAsia="MS Mincho"/>
          <w:color w:val="000000"/>
          <w:szCs w:val="24"/>
          <w:lang w:bidi="he-IL"/>
        </w:rPr>
        <w:t xml:space="preserve">ler ultrasonografi ile etkilenen damarlarda tromboz veya anevrizmanın gösterilmesi, beyin sapı lezyonlarında manyetik rezonans görüntüleme, gastrointestinal sistem tutulumlarında kolonoskopi ve gerekli durumlarda biyopsiler, göz </w:t>
      </w:r>
      <w:r w:rsidRPr="007525BE">
        <w:rPr>
          <w:rFonts w:eastAsia="MS Mincho"/>
          <w:color w:val="000000"/>
          <w:szCs w:val="24"/>
          <w:lang w:bidi="he-IL"/>
        </w:rPr>
        <w:t>anjiyografisinde</w:t>
      </w:r>
      <w:bookmarkStart w:id="0" w:name="_GoBack"/>
      <w:bookmarkEnd w:id="0"/>
      <w:r w:rsidRPr="00B27054">
        <w:rPr>
          <w:rFonts w:eastAsia="MS Mincho"/>
          <w:color w:val="000000"/>
          <w:szCs w:val="24"/>
          <w:lang w:bidi="he-IL"/>
        </w:rPr>
        <w:t xml:space="preserve"> retinal vaskülit bulgularının görülmesi, deri lezyonlarında biyopsi ile saptanan eritema nodozum Behçet hastalığı tanısını desteklemektedir. Paterji testi Behçet hastalığı tanı kriterlerinde de olan en önemli tanısal testlerden birisidir ancak pozitif olma sıklığı Türkiye’de farklı serilerde </w:t>
      </w:r>
      <w:r>
        <w:rPr>
          <w:rFonts w:eastAsia="MS Mincho"/>
          <w:color w:val="000000"/>
          <w:szCs w:val="24"/>
          <w:lang w:bidi="he-IL"/>
        </w:rPr>
        <w:t xml:space="preserve">yüzde </w:t>
      </w:r>
      <w:r w:rsidRPr="00B27054">
        <w:rPr>
          <w:rFonts w:eastAsia="MS Mincho"/>
          <w:color w:val="000000"/>
          <w:szCs w:val="24"/>
          <w:lang w:bidi="he-IL"/>
        </w:rPr>
        <w:t xml:space="preserve">30-60 arasında değişmektedir (1). Crohn hastalığı gibi başka </w:t>
      </w:r>
      <w:r w:rsidRPr="007525BE">
        <w:rPr>
          <w:rFonts w:eastAsia="MS Mincho"/>
          <w:color w:val="000000"/>
          <w:szCs w:val="24"/>
          <w:lang w:bidi="he-IL"/>
        </w:rPr>
        <w:t>inflamatuar hastalıklarda</w:t>
      </w:r>
      <w:r w:rsidRPr="00B27054">
        <w:rPr>
          <w:rFonts w:eastAsia="MS Mincho"/>
          <w:color w:val="000000"/>
          <w:szCs w:val="24"/>
          <w:lang w:bidi="he-IL"/>
        </w:rPr>
        <w:t xml:space="preserve"> da </w:t>
      </w:r>
      <w:r>
        <w:rPr>
          <w:rFonts w:eastAsia="MS Mincho"/>
          <w:color w:val="000000"/>
          <w:szCs w:val="24"/>
          <w:lang w:bidi="he-IL"/>
        </w:rPr>
        <w:t xml:space="preserve">yüzde </w:t>
      </w:r>
      <w:r w:rsidRPr="00B27054">
        <w:rPr>
          <w:rFonts w:eastAsia="MS Mincho"/>
          <w:color w:val="000000"/>
          <w:szCs w:val="24"/>
          <w:lang w:bidi="he-IL"/>
        </w:rPr>
        <w:t>10 sıklıkla paterji testi pozitif olabilmektedir (1).</w:t>
      </w:r>
      <w:r>
        <w:rPr>
          <w:rFonts w:eastAsia="MS Mincho"/>
          <w:color w:val="000000"/>
          <w:szCs w:val="24"/>
          <w:lang w:bidi="he-IL"/>
        </w:rPr>
        <w:t xml:space="preserve">  </w:t>
      </w:r>
    </w:p>
    <w:p w:rsidR="00D636EB" w:rsidRDefault="00D636EB" w:rsidP="00D636EB">
      <w:pPr>
        <w:pStyle w:val="Balk2"/>
        <w:spacing w:line="240" w:lineRule="auto"/>
        <w:ind w:firstLine="709"/>
      </w:pPr>
      <w:bookmarkStart w:id="1" w:name="_Toc421544976"/>
      <w:r w:rsidRPr="00157FF1">
        <w:t>Erken Tanı ve Tedavi</w:t>
      </w:r>
      <w:bookmarkEnd w:id="1"/>
    </w:p>
    <w:p w:rsidR="00D636EB" w:rsidRPr="00157FF1" w:rsidRDefault="00D636EB" w:rsidP="00D636EB">
      <w:pPr>
        <w:pStyle w:val="Balk2"/>
        <w:spacing w:line="240" w:lineRule="auto"/>
        <w:ind w:firstLine="709"/>
        <w:rPr>
          <w:color w:val="4F81BD"/>
          <w:sz w:val="2"/>
        </w:rPr>
      </w:pPr>
      <w:r w:rsidRPr="00157FF1">
        <w:t xml:space="preserve"> </w:t>
      </w:r>
    </w:p>
    <w:p w:rsidR="00D636EB" w:rsidRPr="00CA0733" w:rsidRDefault="00D636EB" w:rsidP="00D636EB">
      <w:pPr>
        <w:widowControl w:val="0"/>
        <w:autoSpaceDE w:val="0"/>
        <w:autoSpaceDN w:val="0"/>
        <w:adjustRightInd w:val="0"/>
        <w:spacing w:line="240" w:lineRule="auto"/>
        <w:ind w:firstLine="709"/>
        <w:jc w:val="both"/>
        <w:rPr>
          <w:rFonts w:eastAsia="MS Mincho"/>
          <w:color w:val="000000"/>
          <w:szCs w:val="24"/>
          <w:lang w:bidi="he-IL"/>
        </w:rPr>
      </w:pPr>
      <w:r w:rsidRPr="00CA0733">
        <w:rPr>
          <w:rFonts w:eastAsia="MS Mincho"/>
          <w:color w:val="000000"/>
          <w:szCs w:val="24"/>
          <w:lang w:bidi="he-IL"/>
        </w:rPr>
        <w:t xml:space="preserve">Behçet hastalığının olmazsa olmaz bulgusu </w:t>
      </w:r>
      <w:r>
        <w:rPr>
          <w:rFonts w:eastAsia="MS Mincho"/>
          <w:color w:val="000000"/>
          <w:szCs w:val="24"/>
          <w:lang w:bidi="he-IL"/>
        </w:rPr>
        <w:t xml:space="preserve">tekrar eden oral ülserlerdir. </w:t>
      </w:r>
      <w:r w:rsidRPr="00CA0733">
        <w:rPr>
          <w:rFonts w:eastAsia="MS Mincho"/>
          <w:color w:val="000000"/>
          <w:szCs w:val="24"/>
          <w:lang w:bidi="he-IL"/>
        </w:rPr>
        <w:t xml:space="preserve">Türkiye’de tekrar eden oral aft sıklığı İç Hastalıkları Derneğinin yaptığı toplum kökenli çalışmada </w:t>
      </w:r>
      <w:r>
        <w:rPr>
          <w:rFonts w:eastAsia="MS Mincho"/>
          <w:color w:val="000000"/>
          <w:szCs w:val="24"/>
          <w:lang w:bidi="he-IL"/>
        </w:rPr>
        <w:t xml:space="preserve">yüzde </w:t>
      </w:r>
      <w:r w:rsidRPr="00CA0733">
        <w:rPr>
          <w:rFonts w:eastAsia="MS Mincho"/>
          <w:color w:val="000000"/>
          <w:szCs w:val="24"/>
          <w:lang w:bidi="he-IL"/>
        </w:rPr>
        <w:t>13 olarak saptanmıştır (Yayınlanmamış veri). Behçet hasta</w:t>
      </w:r>
      <w:r>
        <w:rPr>
          <w:rFonts w:eastAsia="MS Mincho"/>
          <w:color w:val="000000"/>
          <w:szCs w:val="24"/>
          <w:lang w:bidi="he-IL"/>
        </w:rPr>
        <w:t>lığının sıklığı ise en fazla yüzde 0,</w:t>
      </w:r>
      <w:r w:rsidRPr="00CA0733">
        <w:rPr>
          <w:rFonts w:eastAsia="MS Mincho"/>
          <w:color w:val="000000"/>
          <w:szCs w:val="24"/>
          <w:lang w:bidi="he-IL"/>
        </w:rPr>
        <w:t>37 olarak belirtilmektedir (2). Buna göre oral aft bulgusu olan hastaların tümünün taranması oldukça maliyetlidir. Öte yandan</w:t>
      </w:r>
      <w:r>
        <w:rPr>
          <w:rFonts w:eastAsia="MS Mincho"/>
          <w:color w:val="000000"/>
          <w:szCs w:val="24"/>
          <w:lang w:bidi="he-IL"/>
        </w:rPr>
        <w:t>,</w:t>
      </w:r>
      <w:r w:rsidRPr="00CA0733">
        <w:rPr>
          <w:rFonts w:eastAsia="MS Mincho"/>
          <w:color w:val="000000"/>
          <w:szCs w:val="24"/>
          <w:lang w:bidi="he-IL"/>
        </w:rPr>
        <w:t xml:space="preserve"> Behçet hastalığının ortalama başlangıç </w:t>
      </w:r>
      <w:r>
        <w:rPr>
          <w:rFonts w:eastAsia="MS Mincho"/>
          <w:color w:val="000000"/>
          <w:szCs w:val="24"/>
          <w:lang w:bidi="he-IL"/>
        </w:rPr>
        <w:t>y</w:t>
      </w:r>
      <w:r w:rsidRPr="00CA0733">
        <w:rPr>
          <w:rFonts w:eastAsia="MS Mincho"/>
          <w:color w:val="000000"/>
          <w:szCs w:val="24"/>
          <w:lang w:bidi="he-IL"/>
        </w:rPr>
        <w:t>aşı 20’li yaşların ortasıdır ve genel kabul edilen görüşe göre 40 yaşından sonra hastalığın aktivitesi azalmakta veya kaybolmaktadır (1). Bu nedenle</w:t>
      </w:r>
      <w:r>
        <w:rPr>
          <w:rFonts w:eastAsia="MS Mincho"/>
          <w:color w:val="000000"/>
          <w:szCs w:val="24"/>
          <w:lang w:bidi="he-IL"/>
        </w:rPr>
        <w:t>,</w:t>
      </w:r>
      <w:r w:rsidRPr="00CA0733">
        <w:rPr>
          <w:rFonts w:eastAsia="MS Mincho"/>
          <w:color w:val="000000"/>
          <w:szCs w:val="24"/>
          <w:lang w:bidi="he-IL"/>
        </w:rPr>
        <w:t xml:space="preserve"> erken tanı konulma yaşını 15-40 yaş arası hastalar olarak </w:t>
      </w:r>
      <w:r>
        <w:rPr>
          <w:rFonts w:eastAsia="MS Mincho"/>
          <w:color w:val="000000"/>
          <w:szCs w:val="24"/>
          <w:lang w:bidi="he-IL"/>
        </w:rPr>
        <w:t xml:space="preserve">kısıtlamak mantıklı olabilir. </w:t>
      </w:r>
      <w:r w:rsidRPr="00CA0733">
        <w:rPr>
          <w:rFonts w:eastAsia="MS Mincho"/>
          <w:color w:val="000000"/>
          <w:szCs w:val="24"/>
          <w:lang w:bidi="he-IL"/>
        </w:rPr>
        <w:t>Hastalığın erken tanısının konulabilmesi için oral aft bulgusu olan hastaların Behçet hastalığının diğer olası bulguları açısından bilgilendirilmesi gerekmektedir. Erken tanı için uygulanacak bir labo</w:t>
      </w:r>
      <w:r w:rsidRPr="007525BE">
        <w:rPr>
          <w:rFonts w:eastAsia="MS Mincho"/>
          <w:color w:val="000000"/>
          <w:szCs w:val="24"/>
          <w:lang w:bidi="he-IL"/>
        </w:rPr>
        <w:t>ratuar</w:t>
      </w:r>
      <w:r w:rsidRPr="00CA0733">
        <w:rPr>
          <w:rFonts w:eastAsia="MS Mincho"/>
          <w:color w:val="000000"/>
          <w:szCs w:val="24"/>
          <w:lang w:bidi="he-IL"/>
        </w:rPr>
        <w:t xml:space="preserve"> testi bulunmamaktadır.</w:t>
      </w:r>
    </w:p>
    <w:p w:rsidR="00D636EB" w:rsidRPr="007428C0" w:rsidRDefault="00D636EB" w:rsidP="00D636EB">
      <w:pPr>
        <w:widowControl w:val="0"/>
        <w:autoSpaceDE w:val="0"/>
        <w:autoSpaceDN w:val="0"/>
        <w:adjustRightInd w:val="0"/>
        <w:spacing w:line="240" w:lineRule="auto"/>
        <w:ind w:firstLine="709"/>
        <w:jc w:val="both"/>
        <w:rPr>
          <w:rFonts w:eastAsia="MS Mincho"/>
          <w:color w:val="000000"/>
          <w:szCs w:val="24"/>
          <w:lang w:bidi="he-IL"/>
        </w:rPr>
      </w:pPr>
      <w:r w:rsidRPr="00CA0733">
        <w:rPr>
          <w:rFonts w:eastAsia="MS Mincho"/>
          <w:color w:val="000000"/>
          <w:szCs w:val="24"/>
          <w:lang w:bidi="he-IL"/>
        </w:rPr>
        <w:t>Behçet hastalığının tedavisi tutulan organın yeri ve ciddiyetine göre değişmektedir. Mukokütanöz Behçet hastalığı olarak tanımlanan hafif formlarda kolşisin, kısa süreli glukokortikoid tedavileri uygulanabilirken, göz tutulumu veya yaşamı tehdit eden durumlarda immünsupresif tedaviler (azatiopurin, siklosporin, siklofosfamid gibi) verilebilmektedir (4).</w:t>
      </w:r>
      <w:r w:rsidRPr="007428C0">
        <w:rPr>
          <w:rFonts w:eastAsia="MS Mincho"/>
          <w:color w:val="000000"/>
          <w:szCs w:val="24"/>
          <w:lang w:bidi="he-IL"/>
        </w:rPr>
        <w:t xml:space="preserve">  </w:t>
      </w:r>
    </w:p>
    <w:p w:rsidR="00D636EB" w:rsidRDefault="00D636EB" w:rsidP="00D636EB">
      <w:pPr>
        <w:pStyle w:val="Balk2"/>
        <w:spacing w:line="240" w:lineRule="auto"/>
        <w:ind w:firstLine="709"/>
      </w:pPr>
      <w:bookmarkStart w:id="2" w:name="_Toc421544977"/>
      <w:r w:rsidRPr="00157FF1">
        <w:t>Morbidite ve Mortalite</w:t>
      </w:r>
      <w:bookmarkEnd w:id="2"/>
    </w:p>
    <w:p w:rsidR="00D636EB" w:rsidRPr="00157FF1" w:rsidRDefault="00D636EB" w:rsidP="00D636EB">
      <w:pPr>
        <w:spacing w:line="240" w:lineRule="auto"/>
        <w:rPr>
          <w:sz w:val="16"/>
          <w:lang w:eastAsia="x-none"/>
        </w:rPr>
      </w:pPr>
    </w:p>
    <w:p w:rsidR="00D636EB" w:rsidRDefault="00D636EB" w:rsidP="00D636EB">
      <w:pPr>
        <w:widowControl w:val="0"/>
        <w:autoSpaceDE w:val="0"/>
        <w:autoSpaceDN w:val="0"/>
        <w:adjustRightInd w:val="0"/>
        <w:spacing w:line="240" w:lineRule="auto"/>
        <w:ind w:firstLine="709"/>
        <w:jc w:val="both"/>
        <w:rPr>
          <w:rFonts w:eastAsia="MS Mincho"/>
          <w:color w:val="000000"/>
          <w:szCs w:val="24"/>
          <w:lang w:bidi="he-IL"/>
        </w:rPr>
      </w:pPr>
      <w:r w:rsidRPr="00FA31DE">
        <w:rPr>
          <w:rFonts w:eastAsia="MS Mincho"/>
          <w:color w:val="000000"/>
          <w:szCs w:val="24"/>
          <w:lang w:bidi="he-IL"/>
        </w:rPr>
        <w:t xml:space="preserve">Behçet hastalığında tutulan organa göre morbidite görülebilmektedir. Tutulum sıklığından dolayı en korkulan morbidite görme kaybıdır. İmmünsupresif tedavilerin rutin kullanıma girmediği dönemlerde </w:t>
      </w:r>
      <w:r>
        <w:rPr>
          <w:rFonts w:eastAsia="MS Mincho"/>
          <w:color w:val="000000"/>
          <w:szCs w:val="24"/>
          <w:lang w:bidi="he-IL"/>
        </w:rPr>
        <w:t>beş</w:t>
      </w:r>
      <w:r w:rsidRPr="00FA31DE">
        <w:rPr>
          <w:rFonts w:eastAsia="MS Mincho"/>
          <w:color w:val="000000"/>
          <w:szCs w:val="24"/>
          <w:lang w:bidi="he-IL"/>
        </w:rPr>
        <w:t xml:space="preserve"> yıldan uzun süreli hastalığı olanlarda görme kaybı </w:t>
      </w:r>
      <w:r>
        <w:rPr>
          <w:rFonts w:eastAsia="MS Mincho"/>
          <w:color w:val="000000"/>
          <w:szCs w:val="24"/>
          <w:lang w:bidi="he-IL"/>
        </w:rPr>
        <w:t xml:space="preserve">yüzde </w:t>
      </w:r>
      <w:r w:rsidRPr="00FA31DE">
        <w:rPr>
          <w:rFonts w:eastAsia="MS Mincho"/>
          <w:color w:val="000000"/>
          <w:szCs w:val="24"/>
          <w:lang w:bidi="he-IL"/>
        </w:rPr>
        <w:t>50 ve üzerindeydi (5). Günümüzde görme kaybı sıklığı takip edilen süreye göre değişmekle birlikte</w:t>
      </w:r>
      <w:r>
        <w:rPr>
          <w:rFonts w:eastAsia="MS Mincho"/>
          <w:color w:val="000000"/>
          <w:szCs w:val="24"/>
          <w:lang w:bidi="he-IL"/>
        </w:rPr>
        <w:t>,</w:t>
      </w:r>
      <w:r w:rsidRPr="00FA31DE">
        <w:rPr>
          <w:rFonts w:eastAsia="MS Mincho"/>
          <w:color w:val="000000"/>
          <w:szCs w:val="24"/>
          <w:lang w:bidi="he-IL"/>
        </w:rPr>
        <w:t xml:space="preserve"> erkeklerde </w:t>
      </w:r>
      <w:r>
        <w:rPr>
          <w:rFonts w:eastAsia="MS Mincho"/>
          <w:color w:val="000000"/>
          <w:szCs w:val="24"/>
          <w:lang w:bidi="he-IL"/>
        </w:rPr>
        <w:t xml:space="preserve">yüzde </w:t>
      </w:r>
      <w:r w:rsidRPr="00FA31DE">
        <w:rPr>
          <w:rFonts w:eastAsia="MS Mincho"/>
          <w:color w:val="000000"/>
          <w:szCs w:val="24"/>
          <w:lang w:bidi="he-IL"/>
        </w:rPr>
        <w:t xml:space="preserve">20, kadınlarda </w:t>
      </w:r>
      <w:r>
        <w:rPr>
          <w:rFonts w:eastAsia="MS Mincho"/>
          <w:color w:val="000000"/>
          <w:szCs w:val="24"/>
          <w:lang w:bidi="he-IL"/>
        </w:rPr>
        <w:t xml:space="preserve">yüzde </w:t>
      </w:r>
      <w:r w:rsidRPr="00FA31DE">
        <w:rPr>
          <w:rFonts w:eastAsia="MS Mincho"/>
          <w:color w:val="000000"/>
          <w:szCs w:val="24"/>
          <w:lang w:bidi="he-IL"/>
        </w:rPr>
        <w:t xml:space="preserve">10’lara kadar düşmüştür (5). Vasküler ve nörolojik hasar da önemli morbidite nedeni olabilmektedir. Behçet hastalarında özellikle </w:t>
      </w:r>
      <w:r w:rsidRPr="00FA31DE">
        <w:rPr>
          <w:rFonts w:eastAsia="MS Mincho"/>
          <w:color w:val="000000"/>
          <w:szCs w:val="24"/>
          <w:lang w:bidi="he-IL"/>
        </w:rPr>
        <w:lastRenderedPageBreak/>
        <w:t xml:space="preserve">hastalığın ilk </w:t>
      </w:r>
      <w:r>
        <w:rPr>
          <w:rFonts w:eastAsia="MS Mincho"/>
          <w:color w:val="000000"/>
          <w:szCs w:val="24"/>
          <w:lang w:bidi="he-IL"/>
        </w:rPr>
        <w:t>yedi</w:t>
      </w:r>
      <w:r w:rsidRPr="00FA31DE">
        <w:rPr>
          <w:rFonts w:eastAsia="MS Mincho"/>
          <w:color w:val="000000"/>
          <w:szCs w:val="24"/>
          <w:lang w:bidi="he-IL"/>
        </w:rPr>
        <w:t xml:space="preserve"> yılı içerisinde artmış bir mortalite sıklığı bulunmaktadır. İlk </w:t>
      </w:r>
      <w:r>
        <w:rPr>
          <w:rFonts w:eastAsia="MS Mincho"/>
          <w:color w:val="000000"/>
          <w:szCs w:val="24"/>
          <w:lang w:bidi="he-IL"/>
        </w:rPr>
        <w:t>yedi</w:t>
      </w:r>
      <w:r w:rsidRPr="00FA31DE">
        <w:rPr>
          <w:rFonts w:eastAsia="MS Mincho"/>
          <w:color w:val="000000"/>
          <w:szCs w:val="24"/>
          <w:lang w:bidi="he-IL"/>
        </w:rPr>
        <w:t xml:space="preserve"> yıl içerisindeki hastalarda yaş gruplarına göre standardize mortaite oranları arasında farklar bulunmaktadır. Buna göre 14-24 yaş arasında standardize mortalite oranı 13,3 (4,9-29,1), 25-34 yaş arasında 3,3 (1,2-7,2) ve 35-50 yaş arasında 1,9 (0,7-4,2) olarak hesaplanmıştır (5). Önemli ölüm nedenleri pulmoner arter anevrizması ve </w:t>
      </w:r>
      <w:r w:rsidRPr="007525BE">
        <w:rPr>
          <w:rFonts w:eastAsia="MS Mincho"/>
          <w:color w:val="000000"/>
          <w:szCs w:val="24"/>
          <w:lang w:bidi="he-IL"/>
        </w:rPr>
        <w:t>parankimal santral</w:t>
      </w:r>
      <w:r w:rsidRPr="00FA31DE">
        <w:rPr>
          <w:rFonts w:eastAsia="MS Mincho"/>
          <w:color w:val="000000"/>
          <w:szCs w:val="24"/>
          <w:lang w:bidi="he-IL"/>
        </w:rPr>
        <w:t xml:space="preserve"> sinir sistemi hastalığıdır (5).</w:t>
      </w:r>
    </w:p>
    <w:tbl>
      <w:tblPr>
        <w:tblW w:w="7680" w:type="dxa"/>
        <w:jc w:val="center"/>
        <w:tblLayout w:type="fixed"/>
        <w:tblCellMar>
          <w:left w:w="70" w:type="dxa"/>
          <w:right w:w="70" w:type="dxa"/>
        </w:tblCellMar>
        <w:tblLook w:val="04A0" w:firstRow="1" w:lastRow="0" w:firstColumn="1" w:lastColumn="0" w:noHBand="0" w:noVBand="1"/>
      </w:tblPr>
      <w:tblGrid>
        <w:gridCol w:w="950"/>
        <w:gridCol w:w="951"/>
        <w:gridCol w:w="951"/>
        <w:gridCol w:w="951"/>
        <w:gridCol w:w="951"/>
        <w:gridCol w:w="951"/>
        <w:gridCol w:w="951"/>
        <w:gridCol w:w="1024"/>
      </w:tblGrid>
      <w:tr w:rsidR="00D636EB" w:rsidRPr="006905F8" w:rsidTr="00E5673B">
        <w:trPr>
          <w:trHeight w:val="300"/>
          <w:jc w:val="center"/>
        </w:trPr>
        <w:tc>
          <w:tcPr>
            <w:tcW w:w="7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EB" w:rsidRDefault="00D636EB" w:rsidP="00D636EB">
            <w:pPr>
              <w:spacing w:line="240" w:lineRule="auto"/>
              <w:jc w:val="center"/>
              <w:rPr>
                <w:b/>
                <w:szCs w:val="24"/>
                <w:lang w:eastAsia="tr-TR"/>
              </w:rPr>
            </w:pPr>
            <w:r>
              <w:rPr>
                <w:b/>
                <w:szCs w:val="24"/>
                <w:lang w:eastAsia="tr-TR"/>
              </w:rPr>
              <w:t xml:space="preserve">Yıllar İtibariyle </w:t>
            </w:r>
            <w:r w:rsidRPr="006905F8">
              <w:rPr>
                <w:b/>
                <w:szCs w:val="24"/>
                <w:lang w:eastAsia="tr-TR"/>
              </w:rPr>
              <w:t>Behçet Hastalığı Hasta Sayısı</w:t>
            </w:r>
          </w:p>
          <w:p w:rsidR="00D636EB" w:rsidRPr="006905F8" w:rsidRDefault="00D636EB" w:rsidP="00D636EB">
            <w:pPr>
              <w:spacing w:line="240" w:lineRule="auto"/>
              <w:jc w:val="center"/>
              <w:rPr>
                <w:b/>
                <w:szCs w:val="24"/>
                <w:lang w:eastAsia="tr-TR"/>
              </w:rPr>
            </w:pPr>
          </w:p>
        </w:tc>
      </w:tr>
      <w:tr w:rsidR="00D636EB" w:rsidRPr="006905F8" w:rsidTr="00E5673B">
        <w:trPr>
          <w:trHeight w:val="300"/>
          <w:jc w:val="center"/>
        </w:trPr>
        <w:tc>
          <w:tcPr>
            <w:tcW w:w="950" w:type="dxa"/>
            <w:tcBorders>
              <w:top w:val="nil"/>
              <w:left w:val="single" w:sz="4" w:space="0" w:color="auto"/>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2014</w:t>
            </w: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2014</w:t>
            </w: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2015</w:t>
            </w: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2015</w:t>
            </w:r>
          </w:p>
        </w:tc>
        <w:tc>
          <w:tcPr>
            <w:tcW w:w="951" w:type="dxa"/>
            <w:tcBorders>
              <w:top w:val="nil"/>
              <w:left w:val="nil"/>
              <w:bottom w:val="single" w:sz="4" w:space="0" w:color="auto"/>
              <w:right w:val="single" w:sz="4" w:space="0" w:color="auto"/>
            </w:tcBorders>
            <w:shd w:val="clear" w:color="000000" w:fill="F0F4FA"/>
            <w:hideMark/>
          </w:tcPr>
          <w:p w:rsidR="00D636EB" w:rsidRDefault="00D636EB" w:rsidP="00D636EB">
            <w:pPr>
              <w:spacing w:line="240" w:lineRule="auto"/>
              <w:jc w:val="center"/>
              <w:rPr>
                <w:b/>
                <w:szCs w:val="24"/>
                <w:lang w:eastAsia="tr-TR"/>
              </w:rPr>
            </w:pPr>
            <w:r w:rsidRPr="006905F8">
              <w:rPr>
                <w:b/>
                <w:szCs w:val="24"/>
                <w:lang w:eastAsia="tr-TR"/>
              </w:rPr>
              <w:t>2016</w:t>
            </w:r>
          </w:p>
          <w:p w:rsidR="00D636EB" w:rsidRPr="006905F8" w:rsidRDefault="00D636EB" w:rsidP="00D636EB">
            <w:pPr>
              <w:spacing w:line="240" w:lineRule="auto"/>
              <w:jc w:val="center"/>
              <w:rPr>
                <w:b/>
                <w:szCs w:val="24"/>
                <w:lang w:eastAsia="tr-TR"/>
              </w:rPr>
            </w:pP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2016</w:t>
            </w: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2017</w:t>
            </w:r>
          </w:p>
        </w:tc>
        <w:tc>
          <w:tcPr>
            <w:tcW w:w="1024"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2017</w:t>
            </w:r>
          </w:p>
        </w:tc>
      </w:tr>
      <w:tr w:rsidR="00D636EB" w:rsidRPr="006905F8" w:rsidTr="00E5673B">
        <w:trPr>
          <w:trHeight w:val="300"/>
          <w:jc w:val="center"/>
        </w:trPr>
        <w:tc>
          <w:tcPr>
            <w:tcW w:w="950" w:type="dxa"/>
            <w:tcBorders>
              <w:top w:val="nil"/>
              <w:left w:val="single" w:sz="4" w:space="0" w:color="auto"/>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Erkek</w:t>
            </w: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Kadın</w:t>
            </w: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Erkek</w:t>
            </w: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Kadın</w:t>
            </w:r>
          </w:p>
        </w:tc>
        <w:tc>
          <w:tcPr>
            <w:tcW w:w="951" w:type="dxa"/>
            <w:tcBorders>
              <w:top w:val="nil"/>
              <w:left w:val="nil"/>
              <w:bottom w:val="single" w:sz="4" w:space="0" w:color="auto"/>
              <w:right w:val="single" w:sz="4" w:space="0" w:color="auto"/>
            </w:tcBorders>
            <w:shd w:val="clear" w:color="000000" w:fill="F0F4FA"/>
            <w:hideMark/>
          </w:tcPr>
          <w:p w:rsidR="00D636EB" w:rsidRDefault="00D636EB" w:rsidP="00D636EB">
            <w:pPr>
              <w:spacing w:line="240" w:lineRule="auto"/>
              <w:jc w:val="center"/>
              <w:rPr>
                <w:b/>
                <w:szCs w:val="24"/>
                <w:lang w:eastAsia="tr-TR"/>
              </w:rPr>
            </w:pPr>
            <w:r w:rsidRPr="006905F8">
              <w:rPr>
                <w:b/>
                <w:szCs w:val="24"/>
                <w:lang w:eastAsia="tr-TR"/>
              </w:rPr>
              <w:t>Erkek</w:t>
            </w:r>
          </w:p>
          <w:p w:rsidR="00D636EB" w:rsidRPr="006905F8" w:rsidRDefault="00D636EB" w:rsidP="00D636EB">
            <w:pPr>
              <w:spacing w:line="240" w:lineRule="auto"/>
              <w:jc w:val="center"/>
              <w:rPr>
                <w:b/>
                <w:szCs w:val="24"/>
                <w:lang w:eastAsia="tr-TR"/>
              </w:rPr>
            </w:pP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Kadın</w:t>
            </w:r>
          </w:p>
        </w:tc>
        <w:tc>
          <w:tcPr>
            <w:tcW w:w="951"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Erkek</w:t>
            </w:r>
          </w:p>
        </w:tc>
        <w:tc>
          <w:tcPr>
            <w:tcW w:w="1024" w:type="dxa"/>
            <w:tcBorders>
              <w:top w:val="nil"/>
              <w:left w:val="nil"/>
              <w:bottom w:val="single" w:sz="4" w:space="0" w:color="auto"/>
              <w:right w:val="single" w:sz="4" w:space="0" w:color="auto"/>
            </w:tcBorders>
            <w:shd w:val="clear" w:color="000000" w:fill="F0F4FA"/>
            <w:hideMark/>
          </w:tcPr>
          <w:p w:rsidR="00D636EB" w:rsidRPr="006905F8" w:rsidRDefault="00D636EB" w:rsidP="00D636EB">
            <w:pPr>
              <w:spacing w:line="240" w:lineRule="auto"/>
              <w:jc w:val="center"/>
              <w:rPr>
                <w:b/>
                <w:szCs w:val="24"/>
                <w:lang w:eastAsia="tr-TR"/>
              </w:rPr>
            </w:pPr>
            <w:r w:rsidRPr="006905F8">
              <w:rPr>
                <w:b/>
                <w:szCs w:val="24"/>
                <w:lang w:eastAsia="tr-TR"/>
              </w:rPr>
              <w:t>Kadın</w:t>
            </w:r>
          </w:p>
        </w:tc>
      </w:tr>
      <w:tr w:rsidR="00D636EB" w:rsidRPr="006905F8" w:rsidTr="00E5673B">
        <w:trPr>
          <w:trHeight w:val="315"/>
          <w:jc w:val="center"/>
        </w:trPr>
        <w:tc>
          <w:tcPr>
            <w:tcW w:w="950" w:type="dxa"/>
            <w:tcBorders>
              <w:top w:val="nil"/>
              <w:left w:val="single" w:sz="8" w:space="0" w:color="auto"/>
              <w:bottom w:val="single" w:sz="8" w:space="0" w:color="auto"/>
              <w:right w:val="single" w:sz="4" w:space="0" w:color="auto"/>
            </w:tcBorders>
            <w:shd w:val="clear" w:color="auto" w:fill="auto"/>
            <w:noWrap/>
            <w:vAlign w:val="bottom"/>
            <w:hideMark/>
          </w:tcPr>
          <w:p w:rsidR="00D636EB" w:rsidRPr="006905F8" w:rsidRDefault="00D636EB" w:rsidP="00D636EB">
            <w:pPr>
              <w:spacing w:line="240" w:lineRule="auto"/>
              <w:rPr>
                <w:bCs/>
                <w:color w:val="000000"/>
                <w:szCs w:val="24"/>
                <w:lang w:eastAsia="tr-TR"/>
              </w:rPr>
            </w:pPr>
            <w:r w:rsidRPr="006905F8">
              <w:rPr>
                <w:color w:val="000000"/>
                <w:szCs w:val="24"/>
                <w:lang w:eastAsia="tr-TR"/>
              </w:rPr>
              <w:t>9.308</w:t>
            </w:r>
          </w:p>
        </w:tc>
        <w:tc>
          <w:tcPr>
            <w:tcW w:w="951" w:type="dxa"/>
            <w:tcBorders>
              <w:top w:val="nil"/>
              <w:left w:val="nil"/>
              <w:bottom w:val="single" w:sz="8" w:space="0" w:color="auto"/>
              <w:right w:val="single" w:sz="4" w:space="0" w:color="auto"/>
            </w:tcBorders>
            <w:shd w:val="clear" w:color="auto" w:fill="auto"/>
            <w:noWrap/>
            <w:vAlign w:val="bottom"/>
            <w:hideMark/>
          </w:tcPr>
          <w:p w:rsidR="00D636EB" w:rsidRPr="006905F8" w:rsidRDefault="00D636EB" w:rsidP="00D636EB">
            <w:pPr>
              <w:spacing w:line="240" w:lineRule="auto"/>
              <w:rPr>
                <w:bCs/>
                <w:color w:val="000000"/>
                <w:szCs w:val="24"/>
                <w:lang w:eastAsia="tr-TR"/>
              </w:rPr>
            </w:pPr>
            <w:r w:rsidRPr="006905F8">
              <w:rPr>
                <w:color w:val="000000"/>
                <w:szCs w:val="24"/>
                <w:lang w:eastAsia="tr-TR"/>
              </w:rPr>
              <w:t>12.066</w:t>
            </w:r>
          </w:p>
        </w:tc>
        <w:tc>
          <w:tcPr>
            <w:tcW w:w="951" w:type="dxa"/>
            <w:tcBorders>
              <w:top w:val="nil"/>
              <w:left w:val="nil"/>
              <w:bottom w:val="single" w:sz="8" w:space="0" w:color="auto"/>
              <w:right w:val="single" w:sz="4" w:space="0" w:color="auto"/>
            </w:tcBorders>
            <w:shd w:val="clear" w:color="auto" w:fill="auto"/>
            <w:noWrap/>
            <w:vAlign w:val="bottom"/>
            <w:hideMark/>
          </w:tcPr>
          <w:p w:rsidR="00D636EB" w:rsidRPr="006905F8" w:rsidRDefault="00D636EB" w:rsidP="00D636EB">
            <w:pPr>
              <w:spacing w:line="240" w:lineRule="auto"/>
              <w:rPr>
                <w:bCs/>
                <w:color w:val="000000"/>
                <w:szCs w:val="24"/>
                <w:lang w:eastAsia="tr-TR"/>
              </w:rPr>
            </w:pPr>
            <w:r w:rsidRPr="006905F8">
              <w:rPr>
                <w:color w:val="000000"/>
                <w:szCs w:val="24"/>
                <w:lang w:eastAsia="tr-TR"/>
              </w:rPr>
              <w:t>19.459</w:t>
            </w:r>
          </w:p>
        </w:tc>
        <w:tc>
          <w:tcPr>
            <w:tcW w:w="951" w:type="dxa"/>
            <w:tcBorders>
              <w:top w:val="nil"/>
              <w:left w:val="nil"/>
              <w:bottom w:val="single" w:sz="8" w:space="0" w:color="auto"/>
              <w:right w:val="single" w:sz="4" w:space="0" w:color="auto"/>
            </w:tcBorders>
            <w:shd w:val="clear" w:color="auto" w:fill="auto"/>
            <w:noWrap/>
            <w:vAlign w:val="bottom"/>
            <w:hideMark/>
          </w:tcPr>
          <w:p w:rsidR="00D636EB" w:rsidRPr="006905F8" w:rsidRDefault="00D636EB" w:rsidP="00D636EB">
            <w:pPr>
              <w:spacing w:line="240" w:lineRule="auto"/>
              <w:rPr>
                <w:bCs/>
                <w:color w:val="000000"/>
                <w:szCs w:val="24"/>
                <w:lang w:eastAsia="tr-TR"/>
              </w:rPr>
            </w:pPr>
            <w:r w:rsidRPr="006905F8">
              <w:rPr>
                <w:color w:val="000000"/>
                <w:szCs w:val="24"/>
                <w:lang w:eastAsia="tr-TR"/>
              </w:rPr>
              <w:t>22.668</w:t>
            </w:r>
          </w:p>
        </w:tc>
        <w:tc>
          <w:tcPr>
            <w:tcW w:w="951" w:type="dxa"/>
            <w:tcBorders>
              <w:top w:val="nil"/>
              <w:left w:val="nil"/>
              <w:bottom w:val="single" w:sz="8" w:space="0" w:color="auto"/>
              <w:right w:val="single" w:sz="4" w:space="0" w:color="auto"/>
            </w:tcBorders>
            <w:shd w:val="clear" w:color="auto" w:fill="auto"/>
            <w:noWrap/>
            <w:vAlign w:val="bottom"/>
            <w:hideMark/>
          </w:tcPr>
          <w:p w:rsidR="00D636EB" w:rsidRPr="006905F8" w:rsidRDefault="00D636EB" w:rsidP="00D636EB">
            <w:pPr>
              <w:spacing w:line="240" w:lineRule="auto"/>
              <w:rPr>
                <w:bCs/>
                <w:color w:val="000000"/>
                <w:szCs w:val="24"/>
                <w:lang w:eastAsia="tr-TR"/>
              </w:rPr>
            </w:pPr>
            <w:r w:rsidRPr="006905F8">
              <w:rPr>
                <w:color w:val="000000"/>
                <w:szCs w:val="24"/>
                <w:lang w:eastAsia="tr-TR"/>
              </w:rPr>
              <w:t>19.424</w:t>
            </w:r>
          </w:p>
        </w:tc>
        <w:tc>
          <w:tcPr>
            <w:tcW w:w="951" w:type="dxa"/>
            <w:tcBorders>
              <w:top w:val="nil"/>
              <w:left w:val="nil"/>
              <w:bottom w:val="single" w:sz="8" w:space="0" w:color="auto"/>
              <w:right w:val="single" w:sz="4" w:space="0" w:color="auto"/>
            </w:tcBorders>
            <w:shd w:val="clear" w:color="auto" w:fill="auto"/>
            <w:noWrap/>
            <w:vAlign w:val="bottom"/>
            <w:hideMark/>
          </w:tcPr>
          <w:p w:rsidR="00D636EB" w:rsidRPr="006905F8" w:rsidRDefault="00D636EB" w:rsidP="00D636EB">
            <w:pPr>
              <w:spacing w:line="240" w:lineRule="auto"/>
              <w:rPr>
                <w:bCs/>
                <w:color w:val="000000"/>
                <w:szCs w:val="24"/>
                <w:lang w:eastAsia="tr-TR"/>
              </w:rPr>
            </w:pPr>
            <w:r w:rsidRPr="006905F8">
              <w:rPr>
                <w:color w:val="000000"/>
                <w:szCs w:val="24"/>
                <w:lang w:eastAsia="tr-TR"/>
              </w:rPr>
              <w:t>22.502</w:t>
            </w:r>
          </w:p>
        </w:tc>
        <w:tc>
          <w:tcPr>
            <w:tcW w:w="951" w:type="dxa"/>
            <w:tcBorders>
              <w:top w:val="nil"/>
              <w:left w:val="nil"/>
              <w:bottom w:val="single" w:sz="8" w:space="0" w:color="auto"/>
              <w:right w:val="single" w:sz="4" w:space="0" w:color="auto"/>
            </w:tcBorders>
            <w:shd w:val="clear" w:color="auto" w:fill="auto"/>
            <w:noWrap/>
            <w:vAlign w:val="bottom"/>
            <w:hideMark/>
          </w:tcPr>
          <w:p w:rsidR="00D636EB" w:rsidRPr="006905F8" w:rsidRDefault="00D636EB" w:rsidP="00D636EB">
            <w:pPr>
              <w:spacing w:line="240" w:lineRule="auto"/>
              <w:rPr>
                <w:bCs/>
                <w:color w:val="000000"/>
                <w:szCs w:val="24"/>
                <w:lang w:eastAsia="tr-TR"/>
              </w:rPr>
            </w:pPr>
            <w:r w:rsidRPr="006905F8">
              <w:rPr>
                <w:color w:val="000000"/>
                <w:szCs w:val="24"/>
                <w:lang w:eastAsia="tr-TR"/>
              </w:rPr>
              <w:t>25.749</w:t>
            </w:r>
          </w:p>
        </w:tc>
        <w:tc>
          <w:tcPr>
            <w:tcW w:w="1024" w:type="dxa"/>
            <w:tcBorders>
              <w:top w:val="nil"/>
              <w:left w:val="nil"/>
              <w:bottom w:val="single" w:sz="8" w:space="0" w:color="auto"/>
              <w:right w:val="single" w:sz="8" w:space="0" w:color="auto"/>
            </w:tcBorders>
            <w:shd w:val="clear" w:color="auto" w:fill="auto"/>
            <w:noWrap/>
            <w:vAlign w:val="bottom"/>
            <w:hideMark/>
          </w:tcPr>
          <w:p w:rsidR="00D636EB" w:rsidRPr="006905F8" w:rsidRDefault="00D636EB" w:rsidP="00D636EB">
            <w:pPr>
              <w:spacing w:line="240" w:lineRule="auto"/>
              <w:rPr>
                <w:bCs/>
                <w:color w:val="000000"/>
                <w:szCs w:val="24"/>
                <w:lang w:eastAsia="tr-TR"/>
              </w:rPr>
            </w:pPr>
            <w:r w:rsidRPr="006905F8">
              <w:rPr>
                <w:color w:val="000000"/>
                <w:szCs w:val="24"/>
                <w:lang w:eastAsia="tr-TR"/>
              </w:rPr>
              <w:t>29.633</w:t>
            </w:r>
          </w:p>
        </w:tc>
      </w:tr>
    </w:tbl>
    <w:p w:rsidR="00D636EB" w:rsidRDefault="00D636EB" w:rsidP="00D636EB">
      <w:pPr>
        <w:widowControl w:val="0"/>
        <w:autoSpaceDE w:val="0"/>
        <w:autoSpaceDN w:val="0"/>
        <w:adjustRightInd w:val="0"/>
        <w:spacing w:line="240" w:lineRule="auto"/>
        <w:jc w:val="both"/>
        <w:rPr>
          <w:rFonts w:eastAsia="MS Mincho"/>
          <w:b/>
          <w:i/>
          <w:color w:val="000000"/>
          <w:szCs w:val="24"/>
          <w:lang w:bidi="he-IL"/>
        </w:rPr>
      </w:pPr>
    </w:p>
    <w:p w:rsidR="00D636EB" w:rsidRPr="006905F8" w:rsidRDefault="00D636EB" w:rsidP="00D636EB">
      <w:pPr>
        <w:widowControl w:val="0"/>
        <w:autoSpaceDE w:val="0"/>
        <w:autoSpaceDN w:val="0"/>
        <w:adjustRightInd w:val="0"/>
        <w:spacing w:line="240" w:lineRule="auto"/>
        <w:jc w:val="both"/>
        <w:rPr>
          <w:rFonts w:eastAsia="MS Mincho"/>
          <w:i/>
          <w:color w:val="000000"/>
          <w:szCs w:val="24"/>
          <w:lang w:bidi="he-IL"/>
        </w:rPr>
      </w:pPr>
      <w:r w:rsidRPr="006905F8">
        <w:rPr>
          <w:rFonts w:eastAsia="MS Mincho"/>
          <w:b/>
          <w:i/>
          <w:color w:val="000000"/>
          <w:szCs w:val="24"/>
          <w:lang w:bidi="he-IL"/>
        </w:rPr>
        <w:t>Kaynak:</w:t>
      </w:r>
      <w:r w:rsidRPr="006905F8">
        <w:rPr>
          <w:rFonts w:eastAsia="MS Mincho"/>
          <w:i/>
          <w:color w:val="000000"/>
          <w:szCs w:val="24"/>
          <w:lang w:bidi="he-IL"/>
        </w:rPr>
        <w:t xml:space="preserve"> Sağlık Net Kayıtları</w:t>
      </w:r>
      <w:r w:rsidRPr="006905F8">
        <w:rPr>
          <w:rFonts w:eastAsia="MS Mincho"/>
          <w:i/>
          <w:color w:val="000000"/>
          <w:szCs w:val="24"/>
          <w:lang w:bidi="he-IL"/>
        </w:rPr>
        <w:tab/>
      </w:r>
      <w:r w:rsidRPr="006905F8">
        <w:rPr>
          <w:rFonts w:eastAsia="MS Mincho"/>
          <w:i/>
          <w:color w:val="000000"/>
          <w:szCs w:val="24"/>
          <w:lang w:bidi="he-IL"/>
        </w:rPr>
        <w:tab/>
      </w:r>
      <w:r w:rsidRPr="006905F8">
        <w:rPr>
          <w:rFonts w:eastAsia="MS Mincho"/>
          <w:i/>
          <w:color w:val="000000"/>
          <w:szCs w:val="24"/>
          <w:lang w:bidi="he-IL"/>
        </w:rPr>
        <w:tab/>
      </w:r>
      <w:r w:rsidRPr="006905F8">
        <w:rPr>
          <w:rFonts w:eastAsia="MS Mincho"/>
          <w:i/>
          <w:color w:val="000000"/>
          <w:szCs w:val="24"/>
          <w:lang w:bidi="he-IL"/>
        </w:rPr>
        <w:tab/>
      </w:r>
      <w:r w:rsidRPr="006905F8">
        <w:rPr>
          <w:rFonts w:eastAsia="MS Mincho"/>
          <w:i/>
          <w:color w:val="000000"/>
          <w:szCs w:val="24"/>
          <w:lang w:bidi="he-IL"/>
        </w:rPr>
        <w:tab/>
      </w:r>
      <w:r w:rsidRPr="006905F8">
        <w:rPr>
          <w:rFonts w:eastAsia="MS Mincho"/>
          <w:i/>
          <w:color w:val="000000"/>
          <w:szCs w:val="24"/>
          <w:lang w:bidi="he-IL"/>
        </w:rPr>
        <w:tab/>
      </w:r>
      <w:r w:rsidRPr="006905F8">
        <w:rPr>
          <w:rFonts w:eastAsia="MS Mincho"/>
          <w:i/>
          <w:color w:val="000000"/>
          <w:szCs w:val="24"/>
          <w:lang w:bidi="he-IL"/>
        </w:rPr>
        <w:tab/>
      </w:r>
    </w:p>
    <w:p w:rsidR="00D636EB" w:rsidRDefault="00D636EB" w:rsidP="00D636EB">
      <w:pPr>
        <w:pStyle w:val="Balk2"/>
        <w:spacing w:line="240" w:lineRule="auto"/>
        <w:ind w:firstLine="709"/>
      </w:pPr>
      <w:bookmarkStart w:id="3" w:name="_Toc421544978"/>
      <w:r w:rsidRPr="00157FF1">
        <w:t>Kaynaklar</w:t>
      </w:r>
      <w:bookmarkEnd w:id="3"/>
      <w:r>
        <w:t>:</w:t>
      </w:r>
    </w:p>
    <w:p w:rsidR="00D636EB" w:rsidRPr="00157FF1" w:rsidRDefault="00D636EB" w:rsidP="00D636EB">
      <w:pPr>
        <w:spacing w:line="240" w:lineRule="auto"/>
        <w:rPr>
          <w:lang w:eastAsia="x-none"/>
        </w:rPr>
      </w:pPr>
    </w:p>
    <w:p w:rsidR="00D636EB" w:rsidRPr="009C2640" w:rsidRDefault="00D636EB" w:rsidP="00D636EB">
      <w:pPr>
        <w:widowControl w:val="0"/>
        <w:numPr>
          <w:ilvl w:val="0"/>
          <w:numId w:val="19"/>
        </w:numPr>
        <w:autoSpaceDE w:val="0"/>
        <w:autoSpaceDN w:val="0"/>
        <w:adjustRightInd w:val="0"/>
        <w:spacing w:before="0" w:after="0" w:line="240" w:lineRule="auto"/>
        <w:ind w:right="0"/>
        <w:jc w:val="both"/>
        <w:rPr>
          <w:rFonts w:eastAsia="MS Mincho"/>
          <w:i/>
          <w:color w:val="000000"/>
          <w:sz w:val="20"/>
          <w:szCs w:val="24"/>
          <w:lang w:bidi="he-IL"/>
        </w:rPr>
      </w:pPr>
      <w:r w:rsidRPr="009C2640">
        <w:rPr>
          <w:rFonts w:eastAsia="MS Mincho"/>
          <w:i/>
          <w:color w:val="000000"/>
          <w:sz w:val="20"/>
          <w:szCs w:val="24"/>
          <w:lang w:bidi="he-IL"/>
        </w:rPr>
        <w:t xml:space="preserve">Colin G. Barners. History and Diagnosis. Y. Yazıcı and H. Yazıcı (eds). Behçet Syndrome. Springer Science+Business Media, LLC 2010. </w:t>
      </w:r>
    </w:p>
    <w:p w:rsidR="00D636EB" w:rsidRPr="009C2640" w:rsidRDefault="00D636EB" w:rsidP="00D636EB">
      <w:pPr>
        <w:widowControl w:val="0"/>
        <w:numPr>
          <w:ilvl w:val="0"/>
          <w:numId w:val="19"/>
        </w:numPr>
        <w:autoSpaceDE w:val="0"/>
        <w:autoSpaceDN w:val="0"/>
        <w:adjustRightInd w:val="0"/>
        <w:spacing w:before="0" w:after="0" w:line="240" w:lineRule="auto"/>
        <w:ind w:right="0"/>
        <w:jc w:val="both"/>
        <w:rPr>
          <w:rFonts w:eastAsia="MS Mincho"/>
          <w:i/>
          <w:color w:val="000000"/>
          <w:sz w:val="20"/>
          <w:szCs w:val="24"/>
          <w:lang w:bidi="he-IL"/>
        </w:rPr>
      </w:pPr>
      <w:r w:rsidRPr="009C2640">
        <w:rPr>
          <w:rFonts w:eastAsia="MS Mincho"/>
          <w:i/>
          <w:color w:val="000000"/>
          <w:sz w:val="20"/>
          <w:szCs w:val="24"/>
          <w:lang w:bidi="he-IL"/>
        </w:rPr>
        <w:t>Sebahattin Yurdakul, Yusuf Yazıcı. Epidemiology of Behçet’s Syndrome and regional differences in disease expression. Y. Yazıcı and H. Yazıcı (eds). Behçet Syndrome. Springer Science+Business Media, LLC 2010.</w:t>
      </w:r>
    </w:p>
    <w:p w:rsidR="00D636EB" w:rsidRPr="009C2640" w:rsidRDefault="00D636EB" w:rsidP="00D636EB">
      <w:pPr>
        <w:widowControl w:val="0"/>
        <w:numPr>
          <w:ilvl w:val="0"/>
          <w:numId w:val="19"/>
        </w:numPr>
        <w:autoSpaceDE w:val="0"/>
        <w:autoSpaceDN w:val="0"/>
        <w:adjustRightInd w:val="0"/>
        <w:spacing w:before="0" w:after="0" w:line="240" w:lineRule="auto"/>
        <w:ind w:right="0"/>
        <w:jc w:val="both"/>
        <w:rPr>
          <w:rFonts w:eastAsia="MS Mincho"/>
          <w:i/>
          <w:color w:val="000000"/>
          <w:sz w:val="20"/>
          <w:szCs w:val="24"/>
          <w:lang w:bidi="he-IL"/>
        </w:rPr>
      </w:pPr>
      <w:r w:rsidRPr="009C2640">
        <w:rPr>
          <w:rFonts w:eastAsia="MS Mincho"/>
          <w:i/>
          <w:color w:val="000000"/>
          <w:sz w:val="20"/>
          <w:szCs w:val="24"/>
          <w:lang w:bidi="he-IL"/>
        </w:rPr>
        <w:t>Haner Direskeneli, Güher-Saruhan Direskeneli. Disease Mechanism. Y. Yazıcı and H. Yazıcı (eds). Behçet Syndrome. Springer Science+Business Media, LLC 2010.</w:t>
      </w:r>
    </w:p>
    <w:p w:rsidR="00D636EB" w:rsidRPr="009C2640" w:rsidRDefault="00D636EB" w:rsidP="00D636EB">
      <w:pPr>
        <w:widowControl w:val="0"/>
        <w:numPr>
          <w:ilvl w:val="0"/>
          <w:numId w:val="19"/>
        </w:numPr>
        <w:autoSpaceDE w:val="0"/>
        <w:autoSpaceDN w:val="0"/>
        <w:adjustRightInd w:val="0"/>
        <w:spacing w:before="0" w:after="0" w:line="240" w:lineRule="auto"/>
        <w:ind w:right="0"/>
        <w:jc w:val="both"/>
        <w:rPr>
          <w:rFonts w:eastAsia="MS Mincho"/>
          <w:i/>
          <w:color w:val="000000"/>
          <w:sz w:val="20"/>
          <w:szCs w:val="24"/>
          <w:lang w:bidi="he-IL"/>
        </w:rPr>
      </w:pPr>
      <w:r w:rsidRPr="009C2640">
        <w:rPr>
          <w:rFonts w:eastAsia="MS Mincho"/>
          <w:i/>
          <w:color w:val="000000"/>
          <w:sz w:val="20"/>
          <w:szCs w:val="24"/>
          <w:lang w:bidi="he-IL"/>
        </w:rPr>
        <w:t>Vedat Hamuryudan, Ina Kötter. Medical management of Behçet’s Syndrome. Y. Yazıcı and H. Yazıcı (eds). Behçet Syndrome. Springer Science+Business Media, LLC 2010.</w:t>
      </w:r>
    </w:p>
    <w:p w:rsidR="00D636EB" w:rsidRPr="009C2640" w:rsidRDefault="00D636EB" w:rsidP="00D636EB">
      <w:pPr>
        <w:widowControl w:val="0"/>
        <w:numPr>
          <w:ilvl w:val="0"/>
          <w:numId w:val="19"/>
        </w:numPr>
        <w:autoSpaceDE w:val="0"/>
        <w:autoSpaceDN w:val="0"/>
        <w:adjustRightInd w:val="0"/>
        <w:spacing w:before="0" w:after="0" w:line="240" w:lineRule="auto"/>
        <w:ind w:right="0"/>
        <w:jc w:val="both"/>
        <w:rPr>
          <w:rFonts w:eastAsia="MS Mincho"/>
          <w:i/>
          <w:color w:val="000000"/>
          <w:sz w:val="20"/>
          <w:szCs w:val="24"/>
          <w:lang w:bidi="he-IL"/>
        </w:rPr>
      </w:pPr>
      <w:r w:rsidRPr="009C2640">
        <w:rPr>
          <w:rFonts w:eastAsia="MS Mincho"/>
          <w:i/>
          <w:color w:val="000000"/>
          <w:sz w:val="20"/>
          <w:szCs w:val="24"/>
          <w:lang w:bidi="he-IL"/>
        </w:rPr>
        <w:t>Emire Seyahi, Hasan Yazıcı. Prognosis in Behçet’s Syndrome. Y. Yazıcı and H. Yazıcı (eds). Behçet Syndrome. Springer Science+Business Media, LLC 2010.</w:t>
      </w:r>
    </w:p>
    <w:p w:rsidR="00686879" w:rsidRPr="000D333A" w:rsidRDefault="00686879" w:rsidP="00686879"/>
    <w:p w:rsidR="006864E6" w:rsidRPr="00E134F8" w:rsidRDefault="006864E6" w:rsidP="00686879">
      <w:pPr>
        <w:pStyle w:val="NormalWeb"/>
        <w:tabs>
          <w:tab w:val="left" w:pos="426"/>
        </w:tabs>
        <w:jc w:val="center"/>
      </w:pPr>
    </w:p>
    <w:p w:rsidR="007505E6" w:rsidRPr="009B3F61" w:rsidRDefault="007505E6" w:rsidP="00793A82">
      <w:pPr>
        <w:spacing w:after="200" w:line="276" w:lineRule="auto"/>
        <w:ind w:firstLine="708"/>
        <w:jc w:val="center"/>
        <w:rPr>
          <w:szCs w:val="24"/>
        </w:rPr>
      </w:pPr>
    </w:p>
    <w:sectPr w:rsidR="007505E6" w:rsidRPr="009B3F61"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3C" w:rsidRDefault="007E793C" w:rsidP="00091A17">
      <w:pPr>
        <w:spacing w:before="0" w:after="0" w:line="240" w:lineRule="auto"/>
      </w:pPr>
      <w:r>
        <w:separator/>
      </w:r>
    </w:p>
  </w:endnote>
  <w:endnote w:type="continuationSeparator" w:id="0">
    <w:p w:rsidR="007E793C" w:rsidRDefault="007E793C"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7E793C">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7E793C">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636EB" w:rsidRPr="00D636EB">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636EB" w:rsidRPr="00D636EB">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7E793C"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3C" w:rsidRDefault="007E793C" w:rsidP="00091A17">
      <w:pPr>
        <w:spacing w:before="0" w:after="0" w:line="240" w:lineRule="auto"/>
      </w:pPr>
      <w:r>
        <w:separator/>
      </w:r>
    </w:p>
  </w:footnote>
  <w:footnote w:type="continuationSeparator" w:id="0">
    <w:p w:rsidR="007E793C" w:rsidRDefault="007E793C"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36EB">
                            <w:rPr>
                              <w:rFonts w:ascii="Bahnschrift SemiBold" w:hAnsi="Bahnschrift SemiBold"/>
                              <w:noProof/>
                              <w:color w:val="FF0000"/>
                            </w:rPr>
                            <w:t>15.05.2019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36EB">
                      <w:rPr>
                        <w:rFonts w:ascii="Bahnschrift SemiBold" w:hAnsi="Bahnschrift SemiBold"/>
                        <w:noProof/>
                        <w:color w:val="FF0000"/>
                      </w:rPr>
                      <w:t>15.05.2019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37E"/>
    <w:multiLevelType w:val="hybridMultilevel"/>
    <w:tmpl w:val="708AC0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0C08D6"/>
    <w:multiLevelType w:val="hybridMultilevel"/>
    <w:tmpl w:val="5AEA2D62"/>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0EB906A6"/>
    <w:multiLevelType w:val="hybridMultilevel"/>
    <w:tmpl w:val="93D6F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86F17"/>
    <w:multiLevelType w:val="hybridMultilevel"/>
    <w:tmpl w:val="4692AD66"/>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4" w15:restartNumberingAfterBreak="0">
    <w:nsid w:val="0FF73723"/>
    <w:multiLevelType w:val="hybridMultilevel"/>
    <w:tmpl w:val="C9B258A0"/>
    <w:lvl w:ilvl="0" w:tplc="0E0AF216">
      <w:numFmt w:val="bullet"/>
      <w:lvlText w:val="-"/>
      <w:lvlJc w:val="left"/>
      <w:pPr>
        <w:ind w:left="1068" w:hanging="360"/>
      </w:pPr>
      <w:rPr>
        <w:rFonts w:ascii="Times New Roman" w:eastAsia="MS Mincho"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465C9"/>
    <w:multiLevelType w:val="hybridMultilevel"/>
    <w:tmpl w:val="EBFE22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ED6B1A"/>
    <w:multiLevelType w:val="hybridMultilevel"/>
    <w:tmpl w:val="957897D0"/>
    <w:lvl w:ilvl="0" w:tplc="62D8761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5DB3346"/>
    <w:multiLevelType w:val="hybridMultilevel"/>
    <w:tmpl w:val="84D8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CB2961"/>
    <w:multiLevelType w:val="hybridMultilevel"/>
    <w:tmpl w:val="2E8C2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59624BC4"/>
    <w:multiLevelType w:val="hybridMultilevel"/>
    <w:tmpl w:val="D0F49F7A"/>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4"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8D0400"/>
    <w:multiLevelType w:val="hybridMultilevel"/>
    <w:tmpl w:val="3ADA28F8"/>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 w15:restartNumberingAfterBreak="0">
    <w:nsid w:val="6D290384"/>
    <w:multiLevelType w:val="hybridMultilevel"/>
    <w:tmpl w:val="146E41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6E894B90"/>
    <w:multiLevelType w:val="hybridMultilevel"/>
    <w:tmpl w:val="5066DC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19" w15:restartNumberingAfterBreak="0">
    <w:nsid w:val="733D2CBF"/>
    <w:multiLevelType w:val="hybridMultilevel"/>
    <w:tmpl w:val="93C45F9C"/>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14"/>
  </w:num>
  <w:num w:numId="2">
    <w:abstractNumId w:val="5"/>
  </w:num>
  <w:num w:numId="3">
    <w:abstractNumId w:val="8"/>
  </w:num>
  <w:num w:numId="4">
    <w:abstractNumId w:val="6"/>
  </w:num>
  <w:num w:numId="5">
    <w:abstractNumId w:val="10"/>
  </w:num>
  <w:num w:numId="6">
    <w:abstractNumId w:val="11"/>
  </w:num>
  <w:num w:numId="7">
    <w:abstractNumId w:val="2"/>
  </w:num>
  <w:num w:numId="8">
    <w:abstractNumId w:val="15"/>
  </w:num>
  <w:num w:numId="9">
    <w:abstractNumId w:val="19"/>
  </w:num>
  <w:num w:numId="10">
    <w:abstractNumId w:val="16"/>
  </w:num>
  <w:num w:numId="11">
    <w:abstractNumId w:val="1"/>
  </w:num>
  <w:num w:numId="12">
    <w:abstractNumId w:val="13"/>
  </w:num>
  <w:num w:numId="13">
    <w:abstractNumId w:val="12"/>
  </w:num>
  <w:num w:numId="14">
    <w:abstractNumId w:val="18"/>
  </w:num>
  <w:num w:numId="15">
    <w:abstractNumId w:val="7"/>
  </w:num>
  <w:num w:numId="16">
    <w:abstractNumId w:val="3"/>
  </w:num>
  <w:num w:numId="17">
    <w:abstractNumId w:val="17"/>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56464"/>
    <w:rsid w:val="00061CD2"/>
    <w:rsid w:val="00091A17"/>
    <w:rsid w:val="000F6FB2"/>
    <w:rsid w:val="00153DC0"/>
    <w:rsid w:val="00205D9F"/>
    <w:rsid w:val="0024454F"/>
    <w:rsid w:val="00283506"/>
    <w:rsid w:val="00291164"/>
    <w:rsid w:val="002C51A9"/>
    <w:rsid w:val="00355ACF"/>
    <w:rsid w:val="003729F3"/>
    <w:rsid w:val="003B70F6"/>
    <w:rsid w:val="003C4298"/>
    <w:rsid w:val="003C4B24"/>
    <w:rsid w:val="00440062"/>
    <w:rsid w:val="004620F3"/>
    <w:rsid w:val="00472651"/>
    <w:rsid w:val="00497D52"/>
    <w:rsid w:val="004D3EF1"/>
    <w:rsid w:val="004E0A3F"/>
    <w:rsid w:val="005E0937"/>
    <w:rsid w:val="005E4336"/>
    <w:rsid w:val="005E70D3"/>
    <w:rsid w:val="005F12D1"/>
    <w:rsid w:val="00606CA9"/>
    <w:rsid w:val="00635C36"/>
    <w:rsid w:val="006864E6"/>
    <w:rsid w:val="00686879"/>
    <w:rsid w:val="00695FA3"/>
    <w:rsid w:val="006A6FDE"/>
    <w:rsid w:val="006B1CC2"/>
    <w:rsid w:val="006D536B"/>
    <w:rsid w:val="006D7896"/>
    <w:rsid w:val="006E045C"/>
    <w:rsid w:val="00713DF9"/>
    <w:rsid w:val="007505E6"/>
    <w:rsid w:val="007623DD"/>
    <w:rsid w:val="00763BBC"/>
    <w:rsid w:val="00793A82"/>
    <w:rsid w:val="007B0CF7"/>
    <w:rsid w:val="007C50F5"/>
    <w:rsid w:val="007E793C"/>
    <w:rsid w:val="00847E76"/>
    <w:rsid w:val="0085311E"/>
    <w:rsid w:val="00875F75"/>
    <w:rsid w:val="008D17DE"/>
    <w:rsid w:val="008F457B"/>
    <w:rsid w:val="009118E0"/>
    <w:rsid w:val="00914749"/>
    <w:rsid w:val="0092106F"/>
    <w:rsid w:val="009248F6"/>
    <w:rsid w:val="00940BD7"/>
    <w:rsid w:val="00973303"/>
    <w:rsid w:val="00973C36"/>
    <w:rsid w:val="009944E5"/>
    <w:rsid w:val="009A416C"/>
    <w:rsid w:val="009A5E36"/>
    <w:rsid w:val="009B3F61"/>
    <w:rsid w:val="009E5CD7"/>
    <w:rsid w:val="009F7C3D"/>
    <w:rsid w:val="00A00525"/>
    <w:rsid w:val="00A20357"/>
    <w:rsid w:val="00A56514"/>
    <w:rsid w:val="00A61846"/>
    <w:rsid w:val="00A662DA"/>
    <w:rsid w:val="00A705AE"/>
    <w:rsid w:val="00B32352"/>
    <w:rsid w:val="00B46B3C"/>
    <w:rsid w:val="00B4734F"/>
    <w:rsid w:val="00B67A94"/>
    <w:rsid w:val="00BB3E96"/>
    <w:rsid w:val="00BE453B"/>
    <w:rsid w:val="00C1143E"/>
    <w:rsid w:val="00C610F5"/>
    <w:rsid w:val="00C64451"/>
    <w:rsid w:val="00C64480"/>
    <w:rsid w:val="00CE49B7"/>
    <w:rsid w:val="00D353FC"/>
    <w:rsid w:val="00D636EB"/>
    <w:rsid w:val="00DB53CA"/>
    <w:rsid w:val="00E104CE"/>
    <w:rsid w:val="00E759E1"/>
    <w:rsid w:val="00EA7BDC"/>
    <w:rsid w:val="00EC016C"/>
    <w:rsid w:val="00ED471A"/>
    <w:rsid w:val="00EE1878"/>
    <w:rsid w:val="00EE4E3B"/>
    <w:rsid w:val="00F663B5"/>
    <w:rsid w:val="00F81D25"/>
    <w:rsid w:val="00F847B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0B35"/>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uiPriority w:val="9"/>
    <w:qFormat/>
    <w:rsid w:val="00686879"/>
    <w:pPr>
      <w:keepNext/>
      <w:keepLines/>
      <w:spacing w:before="480" w:after="0" w:line="276" w:lineRule="auto"/>
      <w:ind w:left="0" w:right="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686879"/>
    <w:pPr>
      <w:keepNext/>
      <w:keepLines/>
      <w:spacing w:before="200" w:after="0" w:line="276" w:lineRule="auto"/>
      <w:ind w:left="0" w:right="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customStyle="1" w:styleId="Balk1Char">
    <w:name w:val="Başlık 1 Char"/>
    <w:basedOn w:val="VarsaylanParagrafYazTipi"/>
    <w:link w:val="Balk1"/>
    <w:uiPriority w:val="9"/>
    <w:rsid w:val="0068687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686879"/>
    <w:rPr>
      <w:rFonts w:asciiTheme="majorHAnsi" w:eastAsiaTheme="majorEastAsia" w:hAnsiTheme="majorHAnsi" w:cstheme="majorBidi"/>
      <w:b/>
      <w:bCs/>
      <w:color w:val="4472C4" w:themeColor="accent1"/>
      <w:sz w:val="26"/>
      <w:szCs w:val="26"/>
    </w:rPr>
  </w:style>
  <w:style w:type="paragraph" w:styleId="DipnotMetni">
    <w:name w:val="footnote text"/>
    <w:basedOn w:val="Normal"/>
    <w:link w:val="DipnotMetniChar"/>
    <w:uiPriority w:val="99"/>
    <w:semiHidden/>
    <w:unhideWhenUsed/>
    <w:rsid w:val="00686879"/>
    <w:pPr>
      <w:spacing w:before="0" w:after="0" w:line="240" w:lineRule="auto"/>
      <w:ind w:left="0" w:right="0"/>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86879"/>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68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11">
      <w:bodyDiv w:val="1"/>
      <w:marLeft w:val="0"/>
      <w:marRight w:val="0"/>
      <w:marTop w:val="0"/>
      <w:marBottom w:val="0"/>
      <w:divBdr>
        <w:top w:val="none" w:sz="0" w:space="0" w:color="auto"/>
        <w:left w:val="none" w:sz="0" w:space="0" w:color="auto"/>
        <w:bottom w:val="none" w:sz="0" w:space="0" w:color="auto"/>
        <w:right w:val="none" w:sz="0" w:space="0" w:color="auto"/>
      </w:divBdr>
    </w:div>
    <w:div w:id="444348385">
      <w:bodyDiv w:val="1"/>
      <w:marLeft w:val="0"/>
      <w:marRight w:val="0"/>
      <w:marTop w:val="0"/>
      <w:marBottom w:val="0"/>
      <w:divBdr>
        <w:top w:val="none" w:sz="0" w:space="0" w:color="auto"/>
        <w:left w:val="none" w:sz="0" w:space="0" w:color="auto"/>
        <w:bottom w:val="none" w:sz="0" w:space="0" w:color="auto"/>
        <w:right w:val="none" w:sz="0" w:space="0" w:color="auto"/>
      </w:divBdr>
    </w:div>
    <w:div w:id="1321084361">
      <w:bodyDiv w:val="1"/>
      <w:marLeft w:val="0"/>
      <w:marRight w:val="0"/>
      <w:marTop w:val="0"/>
      <w:marBottom w:val="0"/>
      <w:divBdr>
        <w:top w:val="none" w:sz="0" w:space="0" w:color="auto"/>
        <w:left w:val="none" w:sz="0" w:space="0" w:color="auto"/>
        <w:bottom w:val="none" w:sz="0" w:space="0" w:color="auto"/>
        <w:right w:val="none" w:sz="0" w:space="0" w:color="auto"/>
      </w:divBdr>
    </w:div>
    <w:div w:id="1373968331">
      <w:bodyDiv w:val="1"/>
      <w:marLeft w:val="0"/>
      <w:marRight w:val="0"/>
      <w:marTop w:val="0"/>
      <w:marBottom w:val="0"/>
      <w:divBdr>
        <w:top w:val="none" w:sz="0" w:space="0" w:color="auto"/>
        <w:left w:val="none" w:sz="0" w:space="0" w:color="auto"/>
        <w:bottom w:val="none" w:sz="0" w:space="0" w:color="auto"/>
        <w:right w:val="none" w:sz="0" w:space="0" w:color="auto"/>
      </w:divBdr>
    </w:div>
    <w:div w:id="1711421933">
      <w:bodyDiv w:val="1"/>
      <w:marLeft w:val="0"/>
      <w:marRight w:val="0"/>
      <w:marTop w:val="0"/>
      <w:marBottom w:val="0"/>
      <w:divBdr>
        <w:top w:val="none" w:sz="0" w:space="0" w:color="auto"/>
        <w:left w:val="none" w:sz="0" w:space="0" w:color="auto"/>
        <w:bottom w:val="none" w:sz="0" w:space="0" w:color="auto"/>
        <w:right w:val="none" w:sz="0" w:space="0" w:color="auto"/>
      </w:divBdr>
    </w:div>
    <w:div w:id="1960718823">
      <w:bodyDiv w:val="1"/>
      <w:marLeft w:val="0"/>
      <w:marRight w:val="0"/>
      <w:marTop w:val="0"/>
      <w:marBottom w:val="0"/>
      <w:divBdr>
        <w:top w:val="none" w:sz="0" w:space="0" w:color="auto"/>
        <w:left w:val="none" w:sz="0" w:space="0" w:color="auto"/>
        <w:bottom w:val="none" w:sz="0" w:space="0" w:color="auto"/>
        <w:right w:val="none" w:sz="0" w:space="0" w:color="auto"/>
      </w:divBdr>
    </w:div>
    <w:div w:id="1977026940">
      <w:bodyDiv w:val="1"/>
      <w:marLeft w:val="0"/>
      <w:marRight w:val="0"/>
      <w:marTop w:val="0"/>
      <w:marBottom w:val="0"/>
      <w:divBdr>
        <w:top w:val="none" w:sz="0" w:space="0" w:color="auto"/>
        <w:left w:val="none" w:sz="0" w:space="0" w:color="auto"/>
        <w:bottom w:val="none" w:sz="0" w:space="0" w:color="auto"/>
        <w:right w:val="none" w:sz="0" w:space="0" w:color="auto"/>
      </w:divBdr>
    </w:div>
    <w:div w:id="2063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C0842"/>
    <w:rsid w:val="001E0A86"/>
    <w:rsid w:val="00201156"/>
    <w:rsid w:val="002145D3"/>
    <w:rsid w:val="00241269"/>
    <w:rsid w:val="002445CE"/>
    <w:rsid w:val="00270AD2"/>
    <w:rsid w:val="00280A96"/>
    <w:rsid w:val="002C6594"/>
    <w:rsid w:val="00332AC8"/>
    <w:rsid w:val="003C2D79"/>
    <w:rsid w:val="00404390"/>
    <w:rsid w:val="004D39AE"/>
    <w:rsid w:val="00503F4D"/>
    <w:rsid w:val="0056218D"/>
    <w:rsid w:val="005F6C5A"/>
    <w:rsid w:val="006339AA"/>
    <w:rsid w:val="0068519A"/>
    <w:rsid w:val="00867E45"/>
    <w:rsid w:val="008A0469"/>
    <w:rsid w:val="008A3194"/>
    <w:rsid w:val="009463E2"/>
    <w:rsid w:val="009960AB"/>
    <w:rsid w:val="009A19C7"/>
    <w:rsid w:val="009B093C"/>
    <w:rsid w:val="009E2A02"/>
    <w:rsid w:val="00BB3647"/>
    <w:rsid w:val="00C64F9D"/>
    <w:rsid w:val="00E82A78"/>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FA6B-D927-4108-96EE-34869B0B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MUSTAFA SEÇER</cp:lastModifiedBy>
  <cp:revision>2</cp:revision>
  <cp:lastPrinted>2018-12-31T07:15:00Z</cp:lastPrinted>
  <dcterms:created xsi:type="dcterms:W3CDTF">2019-05-15T08:39:00Z</dcterms:created>
  <dcterms:modified xsi:type="dcterms:W3CDTF">2019-05-15T08:39:00Z</dcterms:modified>
</cp:coreProperties>
</file>